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E49" w:rsidRPr="006D26A1" w:rsidRDefault="00FD1E49" w:rsidP="00FD1E49">
      <w:pPr>
        <w:jc w:val="center"/>
        <w:rPr>
          <w:rFonts w:ascii="Gotham Narrow Book" w:hAnsi="Gotham Narrow Book"/>
          <w:sz w:val="64"/>
          <w:szCs w:val="64"/>
          <w:rtl/>
        </w:rPr>
      </w:pPr>
      <w:bookmarkStart w:id="0" w:name="_Hlk478904983"/>
      <w:bookmarkEnd w:id="0"/>
    </w:p>
    <w:p w:rsidR="00E76B42" w:rsidRPr="00D3471F" w:rsidRDefault="00E76B42" w:rsidP="00E76B42">
      <w:pPr>
        <w:bidi w:val="0"/>
        <w:spacing w:line="240" w:lineRule="auto"/>
        <w:jc w:val="center"/>
        <w:rPr>
          <w:rFonts w:asciiTheme="majorBidi" w:eastAsia="Verdana" w:hAnsiTheme="majorBidi" w:cstheme="majorBidi"/>
          <w:sz w:val="40"/>
          <w:szCs w:val="40"/>
          <w:lang w:val="it-IT" w:eastAsia="zh-CN" w:bidi="ar-SY"/>
        </w:rPr>
      </w:pPr>
      <w:r w:rsidRPr="00D3471F">
        <w:rPr>
          <w:rFonts w:asciiTheme="majorBidi" w:eastAsia="Verdana" w:hAnsiTheme="majorBidi" w:cstheme="majorBidi"/>
          <w:sz w:val="40"/>
          <w:szCs w:val="40"/>
          <w:lang w:val="it-IT" w:eastAsia="zh-CN" w:bidi="ar-SY"/>
        </w:rPr>
        <w:t>LA LETTURA DI AL-FĀTIĤAH (L’APRENTE) DURANTE LA PREGHIERA</w:t>
      </w:r>
    </w:p>
    <w:p w:rsidR="00244087" w:rsidRPr="00D3471F" w:rsidRDefault="00244087" w:rsidP="00244087">
      <w:pPr>
        <w:tabs>
          <w:tab w:val="left" w:pos="753"/>
          <w:tab w:val="center" w:pos="3118"/>
        </w:tabs>
        <w:rPr>
          <w:rFonts w:asciiTheme="majorBidi" w:eastAsia="Verdana" w:hAnsiTheme="majorBidi" w:cstheme="majorBidi"/>
          <w:color w:val="800000"/>
          <w:sz w:val="28"/>
          <w:szCs w:val="28"/>
          <w:u w:val="single"/>
          <w:lang w:val="it-IT" w:eastAsia="zh-CN" w:bidi="ar-SY"/>
        </w:rPr>
      </w:pPr>
      <w:r w:rsidRPr="00C67DCB">
        <w:rPr>
          <w:rFonts w:ascii="Gotham Light" w:hAnsi="Gotham Light"/>
          <w:noProof/>
          <w:color w:val="5EA1A5"/>
          <w:sz w:val="144"/>
          <w:szCs w:val="144"/>
          <w:lang w:bidi="ta-IN"/>
        </w:rPr>
        <w:drawing>
          <wp:anchor distT="0" distB="0" distL="114300" distR="114300" simplePos="0" relativeHeight="251659264" behindDoc="0" locked="0" layoutInCell="1" allowOverlap="1" wp14:anchorId="612C324F" wp14:editId="7792F163">
            <wp:simplePos x="0" y="0"/>
            <wp:positionH relativeFrom="margin">
              <wp:align>center</wp:align>
            </wp:positionH>
            <wp:positionV relativeFrom="paragraph">
              <wp:posOffset>148590</wp:posOffset>
            </wp:positionV>
            <wp:extent cx="3253563" cy="473598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D1E49" w:rsidRPr="00D3471F" w:rsidRDefault="00FD1E49" w:rsidP="00FD1E49">
      <w:pPr>
        <w:tabs>
          <w:tab w:val="left" w:pos="753"/>
          <w:tab w:val="center" w:pos="3118"/>
        </w:tabs>
        <w:rPr>
          <w:rFonts w:ascii="Gotham Narrow Light" w:hAnsi="Gotham Narrow Light"/>
          <w:color w:val="5EA1A5"/>
          <w:sz w:val="58"/>
          <w:szCs w:val="96"/>
          <w:lang w:val="it-IT" w:bidi="ar-EG"/>
        </w:rPr>
      </w:pPr>
    </w:p>
    <w:p w:rsidR="00FD1E49" w:rsidRPr="00D3471F" w:rsidRDefault="00244087" w:rsidP="00244087">
      <w:pPr>
        <w:jc w:val="center"/>
        <w:rPr>
          <w:rFonts w:ascii="Gotham Narrow Book" w:hAnsi="Gotham Narrow Book"/>
          <w:sz w:val="28"/>
          <w:szCs w:val="28"/>
          <w:lang w:val="it-IT"/>
        </w:rPr>
      </w:pPr>
      <w:r w:rsidRPr="00D3471F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>A</w:t>
      </w:r>
      <w:r w:rsidRPr="00D3471F">
        <w:rPr>
          <w:rFonts w:asciiTheme="majorBidi" w:eastAsia="Verdana" w:hAnsiTheme="majorBidi" w:cstheme="majorBidi"/>
          <w:sz w:val="28"/>
          <w:szCs w:val="28"/>
          <w:u w:val="single"/>
          <w:lang w:val="it-IT" w:eastAsia="zh-CN" w:bidi="ar-SY"/>
        </w:rPr>
        <w:t>sh</w:t>
      </w:r>
      <w:r w:rsidRPr="00D3471F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>-</w:t>
      </w:r>
      <w:r w:rsidRPr="00D3471F">
        <w:rPr>
          <w:rFonts w:asciiTheme="majorBidi" w:eastAsia="Verdana" w:hAnsiTheme="majorBidi" w:cstheme="majorBidi"/>
          <w:sz w:val="28"/>
          <w:szCs w:val="28"/>
          <w:u w:val="single"/>
          <w:lang w:val="it-IT" w:eastAsia="zh-CN" w:bidi="ar-SY"/>
        </w:rPr>
        <w:t>Sh</w:t>
      </w:r>
      <w:r w:rsidRPr="00D3471F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>ay</w:t>
      </w:r>
      <w:r w:rsidRPr="00D3471F">
        <w:rPr>
          <w:rFonts w:asciiTheme="majorBidi" w:eastAsia="Verdana" w:hAnsiTheme="majorBidi" w:cstheme="majorBidi"/>
          <w:sz w:val="28"/>
          <w:szCs w:val="28"/>
          <w:u w:val="single"/>
          <w:lang w:val="it-IT" w:eastAsia="zh-CN" w:bidi="ar-SY"/>
        </w:rPr>
        <w:t>kh</w:t>
      </w:r>
      <w:r w:rsidRPr="00D3471F">
        <w:rPr>
          <w:rFonts w:asciiTheme="majorBidi" w:eastAsia="Verdana" w:hAnsiTheme="majorBidi" w:cstheme="majorBidi"/>
          <w:sz w:val="28"/>
          <w:szCs w:val="28"/>
          <w:lang w:val="it-IT" w:eastAsia="zh-CN" w:bidi="ar-SY"/>
        </w:rPr>
        <w:t xml:space="preserve"> Muĥammad Şāliĥ Al-Munajjid</w:t>
      </w:r>
    </w:p>
    <w:p w:rsidR="00FD1E49" w:rsidRDefault="00FD1E49" w:rsidP="00FD1E49">
      <w:pPr>
        <w:spacing w:line="240" w:lineRule="auto"/>
        <w:jc w:val="center"/>
        <w:rPr>
          <w:rFonts w:ascii="Gotham Narrow Book" w:hAnsi="Gotham Narrow Book"/>
          <w:sz w:val="60"/>
          <w:szCs w:val="60"/>
          <w:rtl/>
          <w:lang w:bidi="ar-EG"/>
        </w:rPr>
      </w:pPr>
    </w:p>
    <w:p w:rsidR="00FD1E49" w:rsidRPr="00D3471F" w:rsidRDefault="00FD1E49" w:rsidP="00FD1E49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lang w:val="it-IT" w:bidi="ar-EG"/>
        </w:rPr>
      </w:pPr>
    </w:p>
    <w:p w:rsidR="00FD1E49" w:rsidRPr="00D3471F" w:rsidRDefault="00FD1E49" w:rsidP="00FD1E49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lang w:val="it-IT" w:bidi="ar-EG"/>
        </w:rPr>
      </w:pPr>
    </w:p>
    <w:p w:rsidR="00FD1E49" w:rsidRPr="006D26A1" w:rsidRDefault="00FD1E49" w:rsidP="00FD1E49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rtl/>
          <w:lang w:bidi="ar-EG"/>
        </w:rPr>
      </w:pPr>
    </w:p>
    <w:p w:rsidR="00FD1E49" w:rsidRPr="006D26A1" w:rsidRDefault="00B87ADE" w:rsidP="00D3471F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lang w:bidi="ar-EG"/>
        </w:rPr>
      </w:pPr>
      <w:r w:rsidRPr="00161D0F">
        <w:rPr>
          <w:rFonts w:asciiTheme="majorHAnsi" w:hAnsiTheme="majorHAnsi" w:cstheme="majorHAnsi"/>
          <w:sz w:val="32"/>
          <w:szCs w:val="32"/>
          <w:lang w:bidi="ar-EG"/>
        </w:rPr>
        <w:t>Traduzione</w:t>
      </w:r>
      <w:r w:rsidR="00FD1E49" w:rsidRPr="006D26A1">
        <w:rPr>
          <w:rFonts w:asciiTheme="majorHAnsi" w:hAnsiTheme="majorHAnsi" w:cstheme="majorHAnsi"/>
          <w:sz w:val="32"/>
          <w:szCs w:val="32"/>
          <w:lang w:bidi="ar-EG"/>
        </w:rPr>
        <w:t xml:space="preserve">: </w:t>
      </w:r>
      <w:r w:rsidR="00D3471F" w:rsidRPr="00D3471F">
        <w:rPr>
          <w:rFonts w:asciiTheme="majorHAnsi" w:hAnsiTheme="majorHAnsi" w:cstheme="majorHAnsi"/>
          <w:sz w:val="32"/>
          <w:szCs w:val="32"/>
          <w:lang w:bidi="ar-EG"/>
        </w:rPr>
        <w:t>Maria Pragliola</w:t>
      </w:r>
    </w:p>
    <w:p w:rsidR="00FD1E49" w:rsidRPr="006D26A1" w:rsidRDefault="00A112A6" w:rsidP="00D3471F">
      <w:pPr>
        <w:bidi w:val="0"/>
        <w:spacing w:line="240" w:lineRule="auto"/>
        <w:jc w:val="center"/>
        <w:rPr>
          <w:rFonts w:asciiTheme="majorHAnsi" w:hAnsiTheme="majorHAnsi" w:cstheme="majorHAnsi"/>
          <w:sz w:val="32"/>
          <w:szCs w:val="32"/>
          <w:lang w:bidi="ar-EG"/>
        </w:rPr>
      </w:pPr>
      <w:r>
        <w:rPr>
          <w:rFonts w:asciiTheme="majorHAnsi" w:hAnsiTheme="majorHAnsi" w:cstheme="majorHAnsi"/>
          <w:sz w:val="32"/>
          <w:szCs w:val="32"/>
          <w:lang w:bidi="ar-EG"/>
        </w:rPr>
        <w:t>Revisione</w:t>
      </w:r>
      <w:bookmarkStart w:id="1" w:name="_GoBack"/>
      <w:bookmarkEnd w:id="1"/>
      <w:r w:rsidR="00FD1E49" w:rsidRPr="006D26A1">
        <w:rPr>
          <w:rFonts w:asciiTheme="majorHAnsi" w:hAnsiTheme="majorHAnsi" w:cstheme="majorHAnsi"/>
          <w:sz w:val="32"/>
          <w:szCs w:val="32"/>
          <w:lang w:bidi="ar-EG"/>
        </w:rPr>
        <w:t xml:space="preserve">: </w:t>
      </w:r>
      <w:r w:rsidR="00D3471F" w:rsidRPr="00D3471F">
        <w:rPr>
          <w:rFonts w:asciiTheme="majorHAnsi" w:hAnsiTheme="majorHAnsi" w:cstheme="majorHAnsi"/>
          <w:sz w:val="32"/>
          <w:szCs w:val="32"/>
          <w:lang w:bidi="ar-EG"/>
        </w:rPr>
        <w:t>Rezk Mohamed A. Ismaeil</w:t>
      </w:r>
    </w:p>
    <w:p w:rsidR="00FD1E49" w:rsidRPr="006D26A1" w:rsidRDefault="00FD1E49" w:rsidP="00FD1E49">
      <w:pPr>
        <w:spacing w:line="240" w:lineRule="auto"/>
        <w:jc w:val="center"/>
        <w:rPr>
          <w:rFonts w:ascii="Gotham Narrow Book" w:hAnsi="Gotham Narrow Book"/>
          <w:sz w:val="62"/>
          <w:szCs w:val="72"/>
          <w:rtl/>
          <w:lang w:bidi="ar-EG"/>
        </w:rPr>
      </w:pPr>
    </w:p>
    <w:p w:rsidR="00FD1E49" w:rsidRDefault="00FD1E49" w:rsidP="00FD1E49">
      <w:pPr>
        <w:spacing w:line="240" w:lineRule="auto"/>
        <w:jc w:val="center"/>
        <w:rPr>
          <w:rFonts w:ascii="Gotham Narrow Book" w:hAnsi="Gotham Narrow Book"/>
          <w:sz w:val="60"/>
          <w:szCs w:val="60"/>
          <w:rtl/>
          <w:lang w:bidi="ar-EG"/>
        </w:rPr>
      </w:pPr>
    </w:p>
    <w:p w:rsidR="00FD1E49" w:rsidRDefault="00FD1E49" w:rsidP="00FD1E49">
      <w:pPr>
        <w:spacing w:line="240" w:lineRule="auto"/>
        <w:jc w:val="center"/>
        <w:rPr>
          <w:rFonts w:ascii="Gotham Narrow Book" w:hAnsi="Gotham Narrow Book" w:cs="Arial Unicode MS"/>
          <w:sz w:val="60"/>
          <w:szCs w:val="60"/>
          <w:rtl/>
        </w:rPr>
        <w:sectPr w:rsidR="00FD1E49" w:rsidSect="006D26A1">
          <w:headerReference w:type="even" r:id="rId9"/>
          <w:footerReference w:type="default" r:id="rId10"/>
          <w:headerReference w:type="first" r:id="rId11"/>
          <w:pgSz w:w="9072" w:h="13608" w:code="9"/>
          <w:pgMar w:top="1134" w:right="1134" w:bottom="1134" w:left="1134" w:header="709" w:footer="454" w:gutter="0"/>
          <w:pgNumType w:start="0"/>
          <w:cols w:space="708"/>
          <w:titlePg/>
          <w:bidi/>
          <w:rtlGutter/>
          <w:docGrid w:linePitch="360"/>
        </w:sectPr>
      </w:pPr>
    </w:p>
    <w:p w:rsidR="00FD1E49" w:rsidRDefault="00FD1E49" w:rsidP="00FD1E49">
      <w:pPr>
        <w:spacing w:line="240" w:lineRule="auto"/>
        <w:jc w:val="center"/>
        <w:rPr>
          <w:rFonts w:ascii="ae_AlArabiya" w:hAnsi="ae_AlArabiya" w:cs="KFGQPC Uthman Taha Naskh"/>
          <w:b/>
          <w:bCs/>
          <w:sz w:val="42"/>
          <w:szCs w:val="48"/>
          <w:rtl/>
        </w:rPr>
      </w:pPr>
    </w:p>
    <w:p w:rsidR="00FD1E49" w:rsidRPr="00244087" w:rsidRDefault="00E76B42" w:rsidP="00FD1E49">
      <w:pPr>
        <w:spacing w:line="240" w:lineRule="auto"/>
        <w:jc w:val="center"/>
        <w:rPr>
          <w:rFonts w:ascii="Gotham Narrow Light" w:hAnsi="Gotham Narrow Light"/>
          <w:color w:val="5EA1A5"/>
          <w:sz w:val="14"/>
          <w:szCs w:val="14"/>
          <w:rtl/>
          <w:lang w:bidi="ar-EG"/>
        </w:rPr>
      </w:pPr>
      <w:r>
        <w:rPr>
          <w:rFonts w:ascii="ae_AlArabiya" w:hAnsi="ae_AlArabiya" w:cs="KFGQPC Uthman Taha Naskh" w:hint="cs"/>
          <w:b/>
          <w:bCs/>
          <w:sz w:val="42"/>
          <w:szCs w:val="48"/>
          <w:rtl/>
        </w:rPr>
        <w:t>قراءة الفاتحة في الصلاة</w:t>
      </w:r>
    </w:p>
    <w:p w:rsidR="00FD1E49" w:rsidRPr="006D26A1" w:rsidRDefault="008A58B6" w:rsidP="00FD1E49">
      <w:pPr>
        <w:jc w:val="center"/>
        <w:rPr>
          <w:rFonts w:ascii="Gotham Narrow Light" w:hAnsi="Gotham Narrow Light"/>
          <w:color w:val="5EA1A5"/>
          <w:sz w:val="14"/>
          <w:szCs w:val="14"/>
          <w:lang w:bidi="ar-EG"/>
        </w:rPr>
      </w:pPr>
      <w:r>
        <w:rPr>
          <w:rFonts w:ascii="ae_AlArabiya" w:hAnsi="ae_AlArabiya" w:cs="KFGQPC Uthman Taha Naskh" w:hint="cs"/>
          <w:b/>
          <w:bCs/>
          <w:sz w:val="30"/>
          <w:szCs w:val="32"/>
          <w:rtl/>
          <w:lang w:bidi="ar-EG"/>
        </w:rPr>
        <w:t>(باللغة الإيطالية</w:t>
      </w:r>
      <w:r w:rsidR="00FD1E49" w:rsidRPr="006D26A1">
        <w:rPr>
          <w:rFonts w:ascii="ae_AlArabiya" w:hAnsi="ae_AlArabiya" w:cs="KFGQPC Uthman Taha Naskh" w:hint="cs"/>
          <w:b/>
          <w:bCs/>
          <w:sz w:val="30"/>
          <w:szCs w:val="32"/>
          <w:rtl/>
          <w:lang w:bidi="ar-EG"/>
        </w:rPr>
        <w:t>)</w:t>
      </w:r>
      <w:r w:rsidR="00FD1E49" w:rsidRPr="00853076">
        <w:rPr>
          <w:rFonts w:ascii="Gotham Light" w:hAnsi="Gotham Light"/>
          <w:noProof/>
          <w:color w:val="5EA1A5"/>
          <w:sz w:val="100"/>
          <w:szCs w:val="100"/>
          <w:lang w:bidi="ta-IN"/>
        </w:rPr>
        <w:drawing>
          <wp:anchor distT="0" distB="0" distL="114300" distR="114300" simplePos="0" relativeHeight="251660288" behindDoc="0" locked="0" layoutInCell="1" allowOverlap="1" wp14:anchorId="5B436A5C" wp14:editId="44542DF4">
            <wp:simplePos x="0" y="0"/>
            <wp:positionH relativeFrom="margin">
              <wp:align>center</wp:align>
            </wp:positionH>
            <wp:positionV relativeFrom="paragraph">
              <wp:posOffset>537210</wp:posOffset>
            </wp:positionV>
            <wp:extent cx="3253563" cy="473598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D1E49" w:rsidRDefault="00FD1E49" w:rsidP="00FD1E49">
      <w:pPr>
        <w:jc w:val="center"/>
        <w:rPr>
          <w:rFonts w:ascii="Adobe نسخ Medium" w:hAnsi="Adobe نسخ Medium" w:cs="Adobe نسخ Medium"/>
          <w:color w:val="205B83"/>
          <w:sz w:val="56"/>
          <w:szCs w:val="56"/>
          <w:rtl/>
          <w:lang w:bidi="ar-EG"/>
        </w:rPr>
      </w:pPr>
      <w:r w:rsidRPr="00853076">
        <w:rPr>
          <w:rFonts w:ascii="Gotham Narrow Light" w:hAnsi="Gotham Narrow Light"/>
          <w:color w:val="5EA1A5"/>
          <w:sz w:val="100"/>
          <w:szCs w:val="100"/>
          <w:lang w:bidi="ar-EG"/>
        </w:rPr>
        <w:tab/>
      </w:r>
    </w:p>
    <w:p w:rsidR="00FD1E49" w:rsidRDefault="00FD1E49" w:rsidP="00FD1E49">
      <w:pPr>
        <w:spacing w:line="240" w:lineRule="auto"/>
        <w:jc w:val="center"/>
        <w:rPr>
          <w:rFonts w:asciiTheme="majorHAnsi" w:hAnsiTheme="majorHAnsi" w:cs="KFGQPC Uthman Taha Naskh"/>
          <w:sz w:val="36"/>
          <w:szCs w:val="36"/>
          <w:rtl/>
        </w:rPr>
      </w:pPr>
      <w:bookmarkStart w:id="2" w:name="OLE_LINK1"/>
    </w:p>
    <w:p w:rsidR="00FD1E49" w:rsidRPr="006D26A1" w:rsidRDefault="008A58B6" w:rsidP="00FD1E49">
      <w:pPr>
        <w:spacing w:line="240" w:lineRule="auto"/>
        <w:jc w:val="center"/>
        <w:rPr>
          <w:rFonts w:asciiTheme="majorHAnsi" w:hAnsiTheme="majorHAnsi" w:cs="KFGQPC Uthman Taha Naskh"/>
          <w:sz w:val="28"/>
          <w:szCs w:val="28"/>
          <w:rtl/>
        </w:rPr>
      </w:pPr>
      <w:r>
        <w:rPr>
          <w:rFonts w:ascii="Helvetica" w:hAnsi="Helvetica" w:cs="Helvetica"/>
          <w:color w:val="333333"/>
          <w:sz w:val="21"/>
          <w:szCs w:val="21"/>
        </w:rPr>
        <w:br/>
      </w:r>
      <w:r w:rsidRPr="008A58B6">
        <w:rPr>
          <w:rFonts w:asciiTheme="majorHAnsi" w:hAnsiTheme="majorHAnsi" w:cs="KFGQPC Uthman Taha Naskh"/>
          <w:sz w:val="40"/>
          <w:szCs w:val="40"/>
          <w:rtl/>
          <w:lang w:bidi="ar-EG"/>
        </w:rPr>
        <w:t>الشيخ محمد صالح المنجد</w:t>
      </w:r>
    </w:p>
    <w:p w:rsidR="00FD1E49" w:rsidRPr="006D26A1" w:rsidRDefault="00FD1E49" w:rsidP="00FD1E49">
      <w:pPr>
        <w:spacing w:line="240" w:lineRule="auto"/>
        <w:jc w:val="center"/>
        <w:rPr>
          <w:rFonts w:asciiTheme="majorHAnsi" w:hAnsiTheme="majorHAnsi" w:cs="KFGQPC Uthman Taha Naskh"/>
          <w:sz w:val="32"/>
          <w:szCs w:val="32"/>
          <w:rtl/>
        </w:rPr>
      </w:pPr>
    </w:p>
    <w:p w:rsidR="00FD1E49" w:rsidRPr="006D26A1" w:rsidRDefault="00FD1E49" w:rsidP="00D3471F">
      <w:pPr>
        <w:spacing w:line="240" w:lineRule="auto"/>
        <w:jc w:val="center"/>
        <w:rPr>
          <w:rFonts w:asciiTheme="majorHAnsi" w:hAnsiTheme="majorHAnsi" w:cs="KFGQPC Uthman Taha Naskh"/>
          <w:sz w:val="44"/>
          <w:szCs w:val="44"/>
          <w:rtl/>
        </w:rPr>
      </w:pPr>
      <w:r w:rsidRPr="006D26A1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 xml:space="preserve">ترجمة: </w:t>
      </w:r>
      <w:r w:rsidR="00D3471F" w:rsidRPr="00D3471F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ماريا</w:t>
      </w:r>
      <w:r w:rsidR="00D3471F" w:rsidRPr="00D3471F">
        <w:rPr>
          <w:rFonts w:asciiTheme="majorHAnsi" w:hAnsiTheme="majorHAnsi" w:cs="KFGQPC Uthman Taha Naskh"/>
          <w:sz w:val="32"/>
          <w:szCs w:val="32"/>
          <w:rtl/>
          <w:lang w:bidi="ar-EG"/>
        </w:rPr>
        <w:t xml:space="preserve"> </w:t>
      </w:r>
      <w:r w:rsidR="00D3471F" w:rsidRPr="00D3471F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براليولا</w:t>
      </w:r>
    </w:p>
    <w:p w:rsidR="00FD1E49" w:rsidRPr="006D26A1" w:rsidRDefault="00FD1E49" w:rsidP="00D3471F">
      <w:pPr>
        <w:spacing w:line="240" w:lineRule="auto"/>
        <w:jc w:val="center"/>
        <w:rPr>
          <w:rFonts w:asciiTheme="majorHAnsi" w:hAnsiTheme="majorHAnsi" w:cs="KFGQPC Uthman Taha Naskh"/>
          <w:sz w:val="32"/>
          <w:szCs w:val="32"/>
          <w:rtl/>
          <w:lang w:bidi="ar-EG"/>
        </w:rPr>
      </w:pPr>
      <w:r w:rsidRPr="006D26A1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 xml:space="preserve">مراجعة: </w:t>
      </w:r>
      <w:r w:rsidR="00D3471F" w:rsidRPr="00D3471F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رزق</w:t>
      </w:r>
      <w:r w:rsidR="00D3471F" w:rsidRPr="00D3471F">
        <w:rPr>
          <w:rFonts w:asciiTheme="majorHAnsi" w:hAnsiTheme="majorHAnsi" w:cs="KFGQPC Uthman Taha Naskh"/>
          <w:sz w:val="32"/>
          <w:szCs w:val="32"/>
          <w:rtl/>
          <w:lang w:bidi="ar-EG"/>
        </w:rPr>
        <w:t xml:space="preserve"> </w:t>
      </w:r>
      <w:r w:rsidR="00D3471F" w:rsidRPr="00D3471F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محمد</w:t>
      </w:r>
      <w:r w:rsidR="00D3471F" w:rsidRPr="00D3471F">
        <w:rPr>
          <w:rFonts w:asciiTheme="majorHAnsi" w:hAnsiTheme="majorHAnsi" w:cs="KFGQPC Uthman Taha Naskh"/>
          <w:sz w:val="32"/>
          <w:szCs w:val="32"/>
          <w:rtl/>
          <w:lang w:bidi="ar-EG"/>
        </w:rPr>
        <w:t xml:space="preserve"> </w:t>
      </w:r>
      <w:r w:rsidR="00D3471F" w:rsidRPr="00D3471F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عبد</w:t>
      </w:r>
      <w:r w:rsidR="00D3471F" w:rsidRPr="00D3471F">
        <w:rPr>
          <w:rFonts w:asciiTheme="majorHAnsi" w:hAnsiTheme="majorHAnsi" w:cs="KFGQPC Uthman Taha Naskh"/>
          <w:sz w:val="32"/>
          <w:szCs w:val="32"/>
          <w:rtl/>
          <w:lang w:bidi="ar-EG"/>
        </w:rPr>
        <w:t xml:space="preserve"> </w:t>
      </w:r>
      <w:r w:rsidR="00D3471F" w:rsidRPr="00D3471F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المجيد</w:t>
      </w:r>
      <w:r w:rsidR="00D3471F" w:rsidRPr="00D3471F">
        <w:rPr>
          <w:rFonts w:asciiTheme="majorHAnsi" w:hAnsiTheme="majorHAnsi" w:cs="KFGQPC Uthman Taha Naskh"/>
          <w:sz w:val="32"/>
          <w:szCs w:val="32"/>
          <w:rtl/>
          <w:lang w:bidi="ar-EG"/>
        </w:rPr>
        <w:t xml:space="preserve"> </w:t>
      </w:r>
      <w:r w:rsidR="00D3471F" w:rsidRPr="00D3471F">
        <w:rPr>
          <w:rFonts w:asciiTheme="majorHAnsi" w:hAnsiTheme="majorHAnsi" w:cs="KFGQPC Uthman Taha Naskh" w:hint="cs"/>
          <w:sz w:val="32"/>
          <w:szCs w:val="32"/>
          <w:rtl/>
          <w:lang w:bidi="ar-EG"/>
        </w:rPr>
        <w:t>إسماعيل</w:t>
      </w:r>
    </w:p>
    <w:bookmarkEnd w:id="2"/>
    <w:p w:rsidR="00FD1E49" w:rsidRDefault="00FD1E49" w:rsidP="00FD1E49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0"/>
          <w:szCs w:val="30"/>
          <w:lang w:bidi="ar-EG"/>
        </w:rPr>
      </w:pPr>
    </w:p>
    <w:p w:rsidR="00FD1E49" w:rsidRDefault="00FD1E49" w:rsidP="00FD1E49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0"/>
          <w:szCs w:val="30"/>
          <w:rtl/>
          <w:lang w:bidi="ar-EG"/>
        </w:rPr>
      </w:pPr>
    </w:p>
    <w:p w:rsidR="00FD1E49" w:rsidRDefault="00FD1E49" w:rsidP="00FD1E49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0"/>
          <w:szCs w:val="30"/>
          <w:rtl/>
          <w:lang w:bidi="ar-EG"/>
        </w:rPr>
      </w:pPr>
    </w:p>
    <w:p w:rsidR="00FD1E49" w:rsidRPr="006D26A1" w:rsidRDefault="00FD1E49" w:rsidP="00FD1E49">
      <w:pPr>
        <w:tabs>
          <w:tab w:val="left" w:pos="2910"/>
        </w:tabs>
        <w:bidi w:val="0"/>
        <w:jc w:val="center"/>
        <w:rPr>
          <w:rFonts w:ascii="Adobe نسخ Medium" w:hAnsi="Adobe نسخ Medium" w:cs="Adobe نسخ Medium"/>
          <w:color w:val="006666"/>
          <w:sz w:val="32"/>
          <w:szCs w:val="32"/>
          <w:lang w:bidi="ar-EG"/>
        </w:rPr>
      </w:pPr>
      <w:r>
        <w:rPr>
          <w:rFonts w:asciiTheme="majorHAnsi" w:hAnsiTheme="majorHAnsi" w:cs="KFGQPC Uthman Taha Naskh"/>
          <w:noProof/>
          <w:color w:val="205B83"/>
          <w:sz w:val="24"/>
          <w:szCs w:val="24"/>
          <w:lang w:bidi="ta-IN"/>
        </w:rPr>
        <w:drawing>
          <wp:anchor distT="0" distB="0" distL="114300" distR="114300" simplePos="0" relativeHeight="251661312" behindDoc="1" locked="0" layoutInCell="1" allowOverlap="1" wp14:anchorId="6C73BE02" wp14:editId="2F4D40CC">
            <wp:simplePos x="0" y="0"/>
            <wp:positionH relativeFrom="margin">
              <wp:posOffset>-311150</wp:posOffset>
            </wp:positionH>
            <wp:positionV relativeFrom="paragraph">
              <wp:posOffset>288290</wp:posOffset>
            </wp:positionV>
            <wp:extent cx="5051483" cy="1329690"/>
            <wp:effectExtent l="0" t="0" r="0" b="3810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كليشة الربوة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1483" cy="1329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D1E49" w:rsidRPr="006D26A1" w:rsidRDefault="00FD1E49" w:rsidP="00FD1E49">
      <w:pPr>
        <w:tabs>
          <w:tab w:val="left" w:pos="2910"/>
        </w:tabs>
        <w:bidi w:val="0"/>
        <w:rPr>
          <w:rFonts w:ascii="Adobe نسخ Medium" w:hAnsi="Adobe نسخ Medium" w:cs="Adobe نسخ Medium"/>
          <w:color w:val="006666"/>
          <w:sz w:val="32"/>
          <w:szCs w:val="32"/>
          <w:lang w:bidi="ar-EG"/>
        </w:rPr>
      </w:pPr>
    </w:p>
    <w:p w:rsidR="00FD1E49" w:rsidRDefault="00FD1E49" w:rsidP="00FD1E49">
      <w:pPr>
        <w:tabs>
          <w:tab w:val="left" w:pos="2910"/>
        </w:tabs>
        <w:bidi w:val="0"/>
        <w:rPr>
          <w:rFonts w:ascii="Adobe نسخ Medium" w:hAnsi="Adobe نسخ Medium" w:cs="Adobe نسخ Medium"/>
          <w:color w:val="006666"/>
          <w:sz w:val="36"/>
          <w:szCs w:val="36"/>
          <w:lang w:bidi="ar-EG"/>
        </w:rPr>
      </w:pPr>
    </w:p>
    <w:p w:rsidR="00E76B42" w:rsidRDefault="00E76B42" w:rsidP="003A3CDC">
      <w:pPr>
        <w:bidi w:val="0"/>
        <w:spacing w:after="0" w:line="240" w:lineRule="auto"/>
        <w:jc w:val="both"/>
        <w:rPr>
          <w:rFonts w:asciiTheme="majorBidi" w:eastAsia="Verdana" w:hAnsiTheme="majorBidi" w:cstheme="majorBidi"/>
          <w:color w:val="800000"/>
          <w:sz w:val="24"/>
          <w:szCs w:val="24"/>
          <w:rtl/>
          <w:lang w:eastAsia="zh-CN" w:bidi="ar-SY"/>
        </w:rPr>
      </w:pPr>
      <w:bookmarkStart w:id="3" w:name="_Hlk481656827"/>
    </w:p>
    <w:p w:rsidR="00E76B42" w:rsidRPr="00CC4C26" w:rsidRDefault="00E76B42" w:rsidP="00E76B42">
      <w:pPr>
        <w:bidi w:val="0"/>
        <w:spacing w:line="240" w:lineRule="auto"/>
        <w:jc w:val="both"/>
        <w:rPr>
          <w:rFonts w:asciiTheme="majorBidi" w:eastAsia="Verdana" w:hAnsiTheme="majorBidi" w:cstheme="majorBidi"/>
          <w:color w:val="800000"/>
          <w:w w:val="90"/>
          <w:sz w:val="28"/>
          <w:szCs w:val="28"/>
          <w:u w:val="single"/>
          <w:lang w:val="it-IT" w:eastAsia="zh-CN" w:bidi="ar-SY"/>
        </w:rPr>
      </w:pPr>
      <w:r w:rsidRPr="00CC4C26">
        <w:rPr>
          <w:rFonts w:asciiTheme="majorBidi" w:eastAsia="Verdana" w:hAnsiTheme="majorBidi" w:cstheme="majorBidi"/>
          <w:color w:val="800000"/>
          <w:w w:val="90"/>
          <w:sz w:val="28"/>
          <w:szCs w:val="28"/>
          <w:u w:val="single"/>
          <w:lang w:val="it-IT" w:eastAsia="zh-CN" w:bidi="ar-SY"/>
        </w:rPr>
        <w:lastRenderedPageBreak/>
        <w:t xml:space="preserve">LA LETTURA DI </w:t>
      </w:r>
      <w:r w:rsidRPr="00CC4C26">
        <w:rPr>
          <w:rFonts w:asciiTheme="majorBidi" w:eastAsia="Verdana" w:hAnsiTheme="majorBidi" w:cstheme="majorBidi"/>
          <w:i/>
          <w:iCs/>
          <w:color w:val="800000"/>
          <w:w w:val="90"/>
          <w:sz w:val="28"/>
          <w:szCs w:val="28"/>
          <w:u w:val="single"/>
          <w:lang w:val="it-IT" w:eastAsia="zh-CN" w:bidi="ar-SY"/>
        </w:rPr>
        <w:t>AL-FĀTIĤAH</w:t>
      </w:r>
      <w:r w:rsidRPr="00CC4C26">
        <w:rPr>
          <w:rFonts w:asciiTheme="majorBidi" w:eastAsia="Verdana" w:hAnsiTheme="majorBidi" w:cstheme="majorBidi"/>
          <w:color w:val="800000"/>
          <w:w w:val="90"/>
          <w:sz w:val="28"/>
          <w:szCs w:val="28"/>
          <w:u w:val="single"/>
          <w:lang w:val="it-IT" w:eastAsia="zh-CN" w:bidi="ar-SY"/>
        </w:rPr>
        <w:t xml:space="preserve"> (L’APRENTE) DURANTE LA PREGHIERA</w:t>
      </w:r>
    </w:p>
    <w:p w:rsidR="00E76B42" w:rsidRDefault="00E76B42" w:rsidP="00E76B42">
      <w:pPr>
        <w:pStyle w:val="NormalWeb"/>
        <w:spacing w:before="0" w:beforeAutospacing="0" w:after="240" w:afterAutospacing="0"/>
        <w:jc w:val="both"/>
        <w:rPr>
          <w:rFonts w:asciiTheme="majorBidi" w:hAnsiTheme="majorBidi" w:cstheme="majorBidi"/>
          <w:color w:val="008000"/>
          <w:sz w:val="28"/>
          <w:szCs w:val="28"/>
          <w:lang w:val="it-IT"/>
        </w:rPr>
      </w:pPr>
      <w:r>
        <w:rPr>
          <w:rFonts w:asciiTheme="majorBidi" w:hAnsiTheme="majorBidi" w:cstheme="majorBidi"/>
          <w:color w:val="008000"/>
          <w:sz w:val="28"/>
          <w:szCs w:val="28"/>
          <w:lang w:val="it-IT"/>
        </w:rPr>
        <w:t xml:space="preserve">La mia domanda è relativa alla corretta maniera di eseguire le preghiere obbligatorie dietro </w:t>
      </w:r>
      <w:r>
        <w:rPr>
          <w:rFonts w:asciiTheme="majorBidi" w:hAnsiTheme="majorBidi" w:cstheme="majorBidi"/>
          <w:i/>
          <w:iCs/>
          <w:color w:val="008000"/>
          <w:sz w:val="28"/>
          <w:szCs w:val="28"/>
          <w:lang w:val="it-IT"/>
        </w:rPr>
        <w:t>all’Imām</w:t>
      </w:r>
      <w:r>
        <w:rPr>
          <w:rFonts w:asciiTheme="majorBidi" w:hAnsiTheme="majorBidi" w:cstheme="majorBidi"/>
          <w:color w:val="008000"/>
          <w:sz w:val="28"/>
          <w:szCs w:val="28"/>
          <w:lang w:val="it-IT"/>
        </w:rPr>
        <w:t xml:space="preserve">, e nello specifico alla recitazione di </w:t>
      </w:r>
      <w:r>
        <w:rPr>
          <w:rFonts w:asciiTheme="majorBidi" w:hAnsiTheme="majorBidi" w:cstheme="majorBidi"/>
          <w:i/>
          <w:iCs/>
          <w:color w:val="008000"/>
          <w:sz w:val="28"/>
          <w:szCs w:val="28"/>
          <w:lang w:val="it-IT"/>
        </w:rPr>
        <w:t>Al-Fātiĥah.</w:t>
      </w:r>
    </w:p>
    <w:p w:rsidR="00E76B42" w:rsidRDefault="00E76B42" w:rsidP="00E76B42">
      <w:pPr>
        <w:pStyle w:val="NormalWeb"/>
        <w:numPr>
          <w:ilvl w:val="0"/>
          <w:numId w:val="2"/>
        </w:numPr>
        <w:spacing w:before="0" w:beforeAutospacing="0" w:after="240" w:afterAutospacing="0"/>
        <w:jc w:val="both"/>
        <w:rPr>
          <w:rFonts w:asciiTheme="majorBidi" w:hAnsiTheme="majorBidi" w:cstheme="majorBidi"/>
          <w:color w:val="008000"/>
          <w:sz w:val="28"/>
          <w:szCs w:val="28"/>
          <w:lang w:val="it-IT"/>
        </w:rPr>
      </w:pPr>
      <w:r>
        <w:rPr>
          <w:rFonts w:asciiTheme="majorBidi" w:hAnsiTheme="majorBidi" w:cstheme="majorBidi"/>
          <w:color w:val="008000"/>
          <w:sz w:val="28"/>
          <w:szCs w:val="28"/>
          <w:lang w:val="it-IT"/>
        </w:rPr>
        <w:t xml:space="preserve">È obbligatorio per noi recitare </w:t>
      </w:r>
      <w:r>
        <w:rPr>
          <w:rFonts w:asciiTheme="majorBidi" w:hAnsiTheme="majorBidi" w:cstheme="majorBidi"/>
          <w:i/>
          <w:iCs/>
          <w:color w:val="008000"/>
          <w:sz w:val="28"/>
          <w:szCs w:val="28"/>
          <w:lang w:val="it-IT"/>
        </w:rPr>
        <w:t>Sūrat</w:t>
      </w:r>
      <w:r>
        <w:rPr>
          <w:rFonts w:asciiTheme="majorBidi" w:hAnsiTheme="majorBidi" w:cstheme="majorBidi"/>
          <w:color w:val="008000"/>
          <w:sz w:val="28"/>
          <w:szCs w:val="28"/>
          <w:lang w:val="it-IT"/>
        </w:rPr>
        <w:t xml:space="preserve"> </w:t>
      </w:r>
      <w:r>
        <w:rPr>
          <w:rFonts w:asciiTheme="majorBidi" w:hAnsiTheme="majorBidi" w:cstheme="majorBidi"/>
          <w:i/>
          <w:iCs/>
          <w:color w:val="008000"/>
          <w:sz w:val="28"/>
          <w:szCs w:val="28"/>
          <w:lang w:val="it-IT"/>
        </w:rPr>
        <w:t>Al-Fātiĥah</w:t>
      </w:r>
      <w:r>
        <w:rPr>
          <w:rFonts w:asciiTheme="majorBidi" w:hAnsiTheme="majorBidi" w:cstheme="majorBidi"/>
          <w:color w:val="008000"/>
          <w:sz w:val="28"/>
          <w:szCs w:val="28"/>
          <w:lang w:val="it-IT"/>
        </w:rPr>
        <w:t xml:space="preserve"> sottovoce mentre </w:t>
      </w:r>
      <w:r>
        <w:rPr>
          <w:rFonts w:asciiTheme="majorBidi" w:hAnsiTheme="majorBidi" w:cstheme="majorBidi"/>
          <w:i/>
          <w:iCs/>
          <w:color w:val="008000"/>
          <w:sz w:val="28"/>
          <w:szCs w:val="28"/>
          <w:lang w:val="it-IT"/>
        </w:rPr>
        <w:t>l’Imām</w:t>
      </w:r>
      <w:r>
        <w:rPr>
          <w:rFonts w:asciiTheme="majorBidi" w:hAnsiTheme="majorBidi" w:cstheme="majorBidi"/>
          <w:color w:val="008000"/>
          <w:sz w:val="28"/>
          <w:szCs w:val="28"/>
          <w:lang w:val="it-IT"/>
        </w:rPr>
        <w:t xml:space="preserve"> la recita ad alta voce durante le prime due unità della preghiera obbligatoria? </w:t>
      </w:r>
    </w:p>
    <w:p w:rsidR="00E76B42" w:rsidRDefault="00E76B42" w:rsidP="00E76B42">
      <w:pPr>
        <w:pStyle w:val="NormalWeb"/>
        <w:numPr>
          <w:ilvl w:val="0"/>
          <w:numId w:val="2"/>
        </w:numPr>
        <w:spacing w:before="0" w:beforeAutospacing="0" w:after="240" w:afterAutospacing="0"/>
        <w:jc w:val="both"/>
        <w:rPr>
          <w:rFonts w:asciiTheme="majorBidi" w:hAnsiTheme="majorBidi" w:cstheme="majorBidi"/>
          <w:color w:val="008000"/>
          <w:sz w:val="28"/>
          <w:szCs w:val="28"/>
          <w:lang w:val="it-IT"/>
        </w:rPr>
      </w:pPr>
      <w:r>
        <w:rPr>
          <w:rFonts w:asciiTheme="majorBidi" w:hAnsiTheme="majorBidi" w:cstheme="majorBidi"/>
          <w:color w:val="008000"/>
          <w:sz w:val="28"/>
          <w:szCs w:val="28"/>
          <w:lang w:val="it-IT"/>
        </w:rPr>
        <w:t xml:space="preserve">È obbligatorio per noi recitare </w:t>
      </w:r>
      <w:r>
        <w:rPr>
          <w:rFonts w:asciiTheme="majorBidi" w:hAnsiTheme="majorBidi" w:cstheme="majorBidi"/>
          <w:i/>
          <w:iCs/>
          <w:color w:val="008000"/>
          <w:sz w:val="28"/>
          <w:szCs w:val="28"/>
          <w:lang w:val="it-IT"/>
        </w:rPr>
        <w:t>Sūrat</w:t>
      </w:r>
      <w:r>
        <w:rPr>
          <w:rFonts w:asciiTheme="majorBidi" w:hAnsiTheme="majorBidi" w:cstheme="majorBidi"/>
          <w:color w:val="008000"/>
          <w:sz w:val="28"/>
          <w:szCs w:val="28"/>
          <w:lang w:val="it-IT"/>
        </w:rPr>
        <w:t xml:space="preserve"> </w:t>
      </w:r>
      <w:r>
        <w:rPr>
          <w:rFonts w:asciiTheme="majorBidi" w:hAnsiTheme="majorBidi" w:cstheme="majorBidi"/>
          <w:i/>
          <w:iCs/>
          <w:color w:val="008000"/>
          <w:sz w:val="28"/>
          <w:szCs w:val="28"/>
          <w:lang w:val="it-IT"/>
        </w:rPr>
        <w:t>Al-Fātiĥah</w:t>
      </w:r>
      <w:r>
        <w:rPr>
          <w:rFonts w:asciiTheme="majorBidi" w:hAnsiTheme="majorBidi" w:cstheme="majorBidi"/>
          <w:color w:val="008000"/>
          <w:sz w:val="28"/>
          <w:szCs w:val="28"/>
          <w:lang w:val="it-IT"/>
        </w:rPr>
        <w:t xml:space="preserve"> nel medesimo contesto ma durante la terza e quarta unità, cioè quelle unità in cui </w:t>
      </w:r>
      <w:r>
        <w:rPr>
          <w:rFonts w:asciiTheme="majorBidi" w:hAnsiTheme="majorBidi" w:cstheme="majorBidi"/>
          <w:i/>
          <w:iCs/>
          <w:color w:val="008000"/>
          <w:sz w:val="28"/>
          <w:szCs w:val="28"/>
          <w:lang w:val="it-IT"/>
        </w:rPr>
        <w:t>l’Imām</w:t>
      </w:r>
      <w:r>
        <w:rPr>
          <w:rFonts w:asciiTheme="majorBidi" w:hAnsiTheme="majorBidi" w:cstheme="majorBidi"/>
          <w:color w:val="008000"/>
          <w:sz w:val="28"/>
          <w:szCs w:val="28"/>
          <w:lang w:val="it-IT"/>
        </w:rPr>
        <w:t xml:space="preserve"> recita sottovoce?</w:t>
      </w:r>
    </w:p>
    <w:p w:rsidR="00E76B42" w:rsidRDefault="00E76B42" w:rsidP="00E76B42">
      <w:pPr>
        <w:pStyle w:val="NormalWeb"/>
        <w:spacing w:before="0" w:beforeAutospacing="0" w:after="240" w:afterAutospacing="0"/>
        <w:jc w:val="both"/>
        <w:rPr>
          <w:rFonts w:asciiTheme="majorBidi" w:hAnsiTheme="majorBidi" w:cstheme="majorBidi"/>
          <w:color w:val="008000"/>
          <w:sz w:val="28"/>
          <w:szCs w:val="28"/>
          <w:lang w:val="it-IT"/>
        </w:rPr>
      </w:pPr>
      <w:r>
        <w:rPr>
          <w:rFonts w:asciiTheme="majorBidi" w:hAnsiTheme="majorBidi" w:cstheme="majorBidi"/>
          <w:color w:val="008000"/>
          <w:sz w:val="28"/>
          <w:szCs w:val="28"/>
          <w:lang w:val="it-IT"/>
        </w:rPr>
        <w:t xml:space="preserve">La domanda è posta in seguito al desiderio della nostra comunità di quartiere di rettificare il metodo di preghiera. E la gente del quartiere è di due opinioni: l’una è che quando </w:t>
      </w:r>
      <w:r>
        <w:rPr>
          <w:rFonts w:asciiTheme="majorBidi" w:hAnsiTheme="majorBidi" w:cstheme="majorBidi"/>
          <w:i/>
          <w:iCs/>
          <w:color w:val="008000"/>
          <w:sz w:val="28"/>
          <w:szCs w:val="28"/>
          <w:lang w:val="it-IT"/>
        </w:rPr>
        <w:t>l’Imām</w:t>
      </w:r>
      <w:r>
        <w:rPr>
          <w:rFonts w:asciiTheme="majorBidi" w:hAnsiTheme="majorBidi" w:cstheme="majorBidi"/>
          <w:color w:val="008000"/>
          <w:sz w:val="28"/>
          <w:szCs w:val="28"/>
          <w:lang w:val="it-IT"/>
        </w:rPr>
        <w:t xml:space="preserve"> guida la preghiera, sia che reciti ad alta voce (nella prima e seconda unità) o sottovoce (nella terza e quarta unità) noi dobbiamo solo rimanere in ascolto; altri invece sostengono che in mancanza della recitazione di </w:t>
      </w:r>
      <w:r>
        <w:rPr>
          <w:rFonts w:asciiTheme="majorBidi" w:hAnsiTheme="majorBidi" w:cstheme="majorBidi"/>
          <w:i/>
          <w:iCs/>
          <w:color w:val="008000"/>
          <w:sz w:val="28"/>
          <w:szCs w:val="28"/>
          <w:lang w:val="it-IT"/>
        </w:rPr>
        <w:t>Sūrat</w:t>
      </w:r>
      <w:r>
        <w:rPr>
          <w:rFonts w:asciiTheme="majorBidi" w:hAnsiTheme="majorBidi" w:cstheme="majorBidi"/>
          <w:color w:val="008000"/>
          <w:sz w:val="28"/>
          <w:szCs w:val="28"/>
          <w:lang w:val="it-IT"/>
        </w:rPr>
        <w:t xml:space="preserve"> </w:t>
      </w:r>
      <w:r>
        <w:rPr>
          <w:rFonts w:asciiTheme="majorBidi" w:hAnsiTheme="majorBidi" w:cstheme="majorBidi"/>
          <w:color w:val="008000"/>
          <w:sz w:val="28"/>
          <w:szCs w:val="28"/>
          <w:lang w:val="it-IT"/>
        </w:rPr>
        <w:br/>
      </w:r>
      <w:r>
        <w:rPr>
          <w:rFonts w:asciiTheme="majorBidi" w:hAnsiTheme="majorBidi" w:cstheme="majorBidi"/>
          <w:i/>
          <w:iCs/>
          <w:color w:val="008000"/>
          <w:sz w:val="28"/>
          <w:szCs w:val="28"/>
          <w:lang w:val="it-IT"/>
        </w:rPr>
        <w:t>Al-Fātiĥah</w:t>
      </w:r>
      <w:r>
        <w:rPr>
          <w:rFonts w:asciiTheme="majorBidi" w:hAnsiTheme="majorBidi" w:cstheme="majorBidi"/>
          <w:color w:val="008000"/>
          <w:sz w:val="28"/>
          <w:szCs w:val="28"/>
          <w:lang w:val="it-IT"/>
        </w:rPr>
        <w:t>, che venga o meno recitata dall’</w:t>
      </w:r>
      <w:r>
        <w:rPr>
          <w:rFonts w:asciiTheme="majorBidi" w:hAnsiTheme="majorBidi" w:cstheme="majorBidi"/>
          <w:i/>
          <w:iCs/>
          <w:color w:val="008000"/>
          <w:sz w:val="28"/>
          <w:szCs w:val="28"/>
          <w:lang w:val="it-IT"/>
        </w:rPr>
        <w:t>Imām</w:t>
      </w:r>
      <w:r>
        <w:rPr>
          <w:rFonts w:asciiTheme="majorBidi" w:hAnsiTheme="majorBidi" w:cstheme="majorBidi"/>
          <w:color w:val="008000"/>
          <w:sz w:val="28"/>
          <w:szCs w:val="28"/>
          <w:lang w:val="it-IT"/>
        </w:rPr>
        <w:t>, la preghiera è invalida.  Desidererei che ci indicaste ciò che è corretto adducendo quante più prove possibile.</w:t>
      </w:r>
    </w:p>
    <w:p w:rsidR="00E76B42" w:rsidRDefault="00E76B42" w:rsidP="00E76B42">
      <w:pPr>
        <w:bidi w:val="0"/>
        <w:spacing w:line="256" w:lineRule="auto"/>
        <w:jc w:val="both"/>
        <w:rPr>
          <w:rFonts w:asciiTheme="majorBidi" w:hAnsiTheme="majorBidi" w:cstheme="majorBidi"/>
          <w:sz w:val="28"/>
          <w:szCs w:val="28"/>
          <w:lang w:val="it-IT"/>
        </w:rPr>
      </w:pPr>
      <w:r w:rsidRPr="00E76B42">
        <w:rPr>
          <w:rFonts w:asciiTheme="majorBidi" w:hAnsiTheme="majorBidi" w:cstheme="majorBidi"/>
          <w:sz w:val="28"/>
          <w:szCs w:val="28"/>
          <w:lang w:val="it-IT"/>
        </w:rPr>
        <w:t>La lode a Iddio.</w:t>
      </w:r>
    </w:p>
    <w:p w:rsidR="00F22535" w:rsidRDefault="00E76B42" w:rsidP="00E76B42">
      <w:pPr>
        <w:bidi w:val="0"/>
        <w:spacing w:line="256" w:lineRule="auto"/>
        <w:jc w:val="both"/>
        <w:rPr>
          <w:rFonts w:asciiTheme="majorBidi" w:hAnsiTheme="majorBidi" w:cstheme="majorBidi"/>
          <w:sz w:val="28"/>
          <w:szCs w:val="28"/>
          <w:rtl/>
          <w:lang w:val="it-IT"/>
        </w:rPr>
      </w:pPr>
      <w:r w:rsidRPr="00E76B42">
        <w:rPr>
          <w:rFonts w:asciiTheme="majorBidi" w:hAnsiTheme="majorBidi" w:cstheme="majorBidi"/>
          <w:sz w:val="28"/>
          <w:szCs w:val="28"/>
          <w:lang w:val="it-IT"/>
        </w:rPr>
        <w:t xml:space="preserve">La recitazione di </w:t>
      </w:r>
      <w:r w:rsidRPr="00E76B42">
        <w:rPr>
          <w:rFonts w:asciiTheme="majorBidi" w:hAnsiTheme="majorBidi" w:cstheme="majorBidi"/>
          <w:i/>
          <w:iCs/>
          <w:sz w:val="28"/>
          <w:szCs w:val="28"/>
          <w:lang w:val="it-IT"/>
        </w:rPr>
        <w:t>Al-Fātiĥah</w:t>
      </w:r>
      <w:r w:rsidRPr="00E76B42">
        <w:rPr>
          <w:rFonts w:asciiTheme="majorBidi" w:hAnsiTheme="majorBidi" w:cstheme="majorBidi"/>
          <w:sz w:val="28"/>
          <w:szCs w:val="28"/>
          <w:lang w:val="it-IT"/>
        </w:rPr>
        <w:t xml:space="preserve"> costituisce uno dei pilastri della preghiera da applicare in ogni unità sia dall’</w:t>
      </w:r>
      <w:r w:rsidRPr="00E76B42">
        <w:rPr>
          <w:rFonts w:asciiTheme="majorBidi" w:hAnsiTheme="majorBidi" w:cstheme="majorBidi"/>
          <w:i/>
          <w:iCs/>
          <w:sz w:val="28"/>
          <w:szCs w:val="28"/>
          <w:lang w:val="it-IT"/>
        </w:rPr>
        <w:t>Imām</w:t>
      </w:r>
      <w:r w:rsidRPr="00E76B42">
        <w:rPr>
          <w:rFonts w:asciiTheme="majorBidi" w:hAnsiTheme="majorBidi" w:cstheme="majorBidi"/>
          <w:sz w:val="28"/>
          <w:szCs w:val="28"/>
          <w:lang w:val="it-IT"/>
        </w:rPr>
        <w:t xml:space="preserve"> sia dal singolo, per detto del Profeta </w:t>
      </w:r>
      <w:r>
        <w:rPr>
          <w:rFonts w:ascii="Arial Unicode MS" w:hAnsi="Arial Unicode MS" w:cs="Arial Unicode MS" w:hint="eastAsia"/>
          <w:color w:val="1D2129"/>
          <w:sz w:val="21"/>
          <w:szCs w:val="21"/>
          <w:shd w:val="clear" w:color="auto" w:fill="FFFFFF"/>
          <w:rtl/>
        </w:rPr>
        <w:t>ﷺ</w:t>
      </w:r>
      <w:r w:rsidRPr="00E76B42">
        <w:rPr>
          <w:rFonts w:asciiTheme="majorBidi" w:hAnsiTheme="majorBidi" w:cstheme="majorBidi"/>
          <w:sz w:val="28"/>
          <w:szCs w:val="28"/>
          <w:lang w:val="it-IT"/>
        </w:rPr>
        <w:t>: “</w:t>
      </w:r>
      <w:r w:rsidRPr="00E76B42">
        <w:rPr>
          <w:rFonts w:asciiTheme="majorBidi" w:hAnsiTheme="majorBidi" w:cstheme="majorBidi"/>
          <w:b/>
          <w:bCs/>
          <w:i/>
          <w:iCs/>
          <w:sz w:val="28"/>
          <w:szCs w:val="28"/>
          <w:lang w:val="it-IT"/>
        </w:rPr>
        <w:t>Non v’è preghiera per colui che non recita l’Aprente della Scrittura</w:t>
      </w:r>
      <w:r w:rsidR="006867C1">
        <w:rPr>
          <w:rFonts w:asciiTheme="majorBidi" w:hAnsiTheme="majorBidi" w:cstheme="majorBidi"/>
          <w:sz w:val="28"/>
          <w:szCs w:val="28"/>
          <w:lang w:val="it-IT"/>
        </w:rPr>
        <w:t xml:space="preserve">”. </w:t>
      </w:r>
    </w:p>
    <w:p w:rsidR="00E76B42" w:rsidRPr="006867C1" w:rsidRDefault="00E76B42" w:rsidP="00F22535">
      <w:pPr>
        <w:bidi w:val="0"/>
        <w:spacing w:line="256" w:lineRule="auto"/>
        <w:jc w:val="both"/>
        <w:rPr>
          <w:rFonts w:asciiTheme="majorBidi" w:hAnsiTheme="majorBidi" w:cstheme="majorBidi"/>
          <w:sz w:val="20"/>
          <w:szCs w:val="20"/>
          <w:lang w:val="it-IT"/>
        </w:rPr>
      </w:pPr>
      <w:r w:rsidRPr="006867C1">
        <w:rPr>
          <w:rFonts w:asciiTheme="majorBidi" w:hAnsiTheme="majorBidi" w:cstheme="majorBidi"/>
          <w:sz w:val="20"/>
          <w:szCs w:val="20"/>
          <w:lang w:val="it-IT"/>
        </w:rPr>
        <w:t>[Al-Bu</w:t>
      </w:r>
      <w:r w:rsidRPr="006867C1">
        <w:rPr>
          <w:rFonts w:asciiTheme="majorBidi" w:hAnsiTheme="majorBidi" w:cstheme="majorBidi"/>
          <w:sz w:val="20"/>
          <w:szCs w:val="20"/>
          <w:u w:val="single"/>
          <w:lang w:val="it-IT"/>
        </w:rPr>
        <w:t>kh</w:t>
      </w:r>
      <w:r w:rsidRPr="006867C1">
        <w:rPr>
          <w:rFonts w:asciiTheme="majorBidi" w:hAnsiTheme="majorBidi" w:cstheme="majorBidi"/>
          <w:sz w:val="20"/>
          <w:szCs w:val="20"/>
          <w:lang w:val="it-IT"/>
        </w:rPr>
        <w:t>ārī, 714].</w:t>
      </w:r>
    </w:p>
    <w:p w:rsidR="00E76B42" w:rsidRPr="00D3471F" w:rsidRDefault="00E76B42" w:rsidP="00E76B42">
      <w:pPr>
        <w:bidi w:val="0"/>
        <w:spacing w:line="256" w:lineRule="auto"/>
        <w:jc w:val="both"/>
        <w:rPr>
          <w:rFonts w:asciiTheme="majorBidi" w:hAnsiTheme="majorBidi" w:cstheme="majorBidi"/>
          <w:sz w:val="28"/>
          <w:szCs w:val="28"/>
          <w:lang w:val="it-IT"/>
        </w:rPr>
      </w:pP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Riguardo alla recitazione di 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Al-Fātiĥah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 di colui che segue l’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 xml:space="preserve">Imām 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durante la preghiera 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Jahrīyyah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 (ovvero quella nella 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lastRenderedPageBreak/>
        <w:t>quale il Corano viene recitato ad alta voce) esistono due opinioni sapienziali:</w:t>
      </w:r>
    </w:p>
    <w:p w:rsidR="00E76B42" w:rsidRPr="00D3471F" w:rsidRDefault="00E76B42" w:rsidP="00E76B42">
      <w:pPr>
        <w:bidi w:val="0"/>
        <w:spacing w:line="256" w:lineRule="auto"/>
        <w:jc w:val="both"/>
        <w:rPr>
          <w:rFonts w:asciiTheme="majorBidi" w:hAnsiTheme="majorBidi" w:cstheme="majorBidi"/>
          <w:sz w:val="28"/>
          <w:szCs w:val="28"/>
          <w:lang w:val="it-IT"/>
        </w:rPr>
      </w:pP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La prima opinione è che sia obbligatoria, e come prova v’è il significato generale del detto del Profeta </w:t>
      </w:r>
      <w:r>
        <w:rPr>
          <w:rFonts w:ascii="Arial Unicode MS" w:hAnsi="Arial Unicode MS" w:cs="Arial Unicode MS" w:hint="eastAsia"/>
          <w:color w:val="1D2129"/>
          <w:sz w:val="21"/>
          <w:szCs w:val="21"/>
          <w:shd w:val="clear" w:color="auto" w:fill="FFFFFF"/>
          <w:rtl/>
        </w:rPr>
        <w:t>ﷺ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>: “</w:t>
      </w:r>
      <w:r w:rsidRPr="00D3471F">
        <w:rPr>
          <w:rFonts w:asciiTheme="majorBidi" w:hAnsiTheme="majorBidi" w:cstheme="majorBidi"/>
          <w:b/>
          <w:bCs/>
          <w:i/>
          <w:iCs/>
          <w:sz w:val="28"/>
          <w:szCs w:val="28"/>
          <w:lang w:val="it-IT"/>
        </w:rPr>
        <w:t>Non v’è preghiera per colui che non recita l’Aprente della Scrittura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”; inoltre l’insegnamento del Profeta </w:t>
      </w:r>
      <w:r>
        <w:rPr>
          <w:rFonts w:ascii="Arial Unicode MS" w:hAnsi="Arial Unicode MS" w:cs="Arial Unicode MS" w:hint="eastAsia"/>
          <w:color w:val="1D2129"/>
          <w:sz w:val="21"/>
          <w:szCs w:val="21"/>
          <w:shd w:val="clear" w:color="auto" w:fill="FFFFFF"/>
          <w:rtl/>
        </w:rPr>
        <w:t>ﷺ</w:t>
      </w:r>
      <w:r>
        <w:rPr>
          <w:rFonts w:asciiTheme="majorBidi" w:hAnsiTheme="majorBidi" w:cs="Arial Unicode MS"/>
          <w:sz w:val="28"/>
          <w:szCs w:val="28"/>
          <w:rtl/>
        </w:rPr>
        <w:t xml:space="preserve"> 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a colui che non aveva pregato correttamente, al quale ordinò di recitare 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Al-Fātiĥah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>.</w:t>
      </w:r>
    </w:p>
    <w:p w:rsidR="00E76B42" w:rsidRPr="00D3471F" w:rsidRDefault="00E76B42" w:rsidP="0009099C">
      <w:pPr>
        <w:bidi w:val="0"/>
        <w:spacing w:line="256" w:lineRule="auto"/>
        <w:jc w:val="both"/>
        <w:rPr>
          <w:rFonts w:asciiTheme="majorBidi" w:hAnsiTheme="majorBidi" w:cstheme="majorBidi"/>
          <w:sz w:val="28"/>
          <w:szCs w:val="28"/>
          <w:lang w:val="it-IT"/>
        </w:rPr>
      </w:pP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È stato trasmesso in una narrazione autentica che il Profeta </w:t>
      </w:r>
      <w:r>
        <w:rPr>
          <w:rFonts w:ascii="Arial Unicode MS" w:hAnsi="Arial Unicode MS" w:cs="Arial Unicode MS" w:hint="eastAsia"/>
          <w:color w:val="1D2129"/>
          <w:sz w:val="21"/>
          <w:szCs w:val="21"/>
          <w:shd w:val="clear" w:color="auto" w:fill="FFFFFF"/>
          <w:rtl/>
        </w:rPr>
        <w:t>ﷺ</w:t>
      </w:r>
      <w:r>
        <w:rPr>
          <w:rFonts w:asciiTheme="majorBidi" w:hAnsiTheme="majorBidi" w:cs="Arial Unicode MS"/>
          <w:sz w:val="28"/>
          <w:szCs w:val="28"/>
          <w:rtl/>
        </w:rPr>
        <w:t xml:space="preserve"> 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soleva recitarla in ogni unità. 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Al-ĥāfi</w:t>
      </w:r>
      <w:r w:rsidRPr="00D3471F">
        <w:rPr>
          <w:rFonts w:asciiTheme="majorBidi" w:hAnsiTheme="majorBidi" w:cstheme="majorBidi"/>
          <w:i/>
          <w:iCs/>
          <w:sz w:val="28"/>
          <w:szCs w:val="28"/>
          <w:u w:val="single"/>
          <w:lang w:val="it-IT"/>
        </w:rPr>
        <w:t>z̧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 xml:space="preserve"> Ibn Ĥajar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 disse in “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Fatĥ Al-Bārī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”: “Invero è comprovato il permesso per colui il quale prega dietro un 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Imām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 (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al-ma</w:t>
      </w:r>
      <w:r>
        <w:rPr>
          <w:rFonts w:ascii="Helvetica" w:hAnsi="Helvetica"/>
          <w:b/>
          <w:bCs/>
          <w:color w:val="222222"/>
          <w:bdr w:val="none" w:sz="0" w:space="0" w:color="auto" w:frame="1"/>
          <w:shd w:val="clear" w:color="auto" w:fill="FFFFFF"/>
        </w:rPr>
        <w:t>῾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mūm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) di recitare 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Al-Fātiĥah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 durante 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A</w:t>
      </w:r>
      <w:r w:rsidR="0009099C">
        <w:rPr>
          <w:rFonts w:asciiTheme="majorBidi" w:hAnsiTheme="majorBidi" w:cstheme="majorBidi"/>
          <w:i/>
          <w:iCs/>
          <w:sz w:val="28"/>
          <w:szCs w:val="28"/>
          <w:lang w:val="it-IT"/>
        </w:rPr>
        <w:t>l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 xml:space="preserve">-Jahrīyyah 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(la preghiera ad alta voce), senza vincolo. Questo è quanto è stato trasmesso da 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Al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>-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Bu</w:t>
      </w:r>
      <w:r w:rsidRPr="00D3471F">
        <w:rPr>
          <w:rFonts w:asciiTheme="majorBidi" w:hAnsiTheme="majorBidi" w:cstheme="majorBidi"/>
          <w:i/>
          <w:iCs/>
          <w:sz w:val="28"/>
          <w:szCs w:val="28"/>
          <w:u w:val="single"/>
          <w:lang w:val="it-IT"/>
        </w:rPr>
        <w:t>kh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ārī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 in “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Juz</w:t>
      </w:r>
      <w:r>
        <w:rPr>
          <w:rFonts w:ascii="Helvetica" w:hAnsi="Helvetica"/>
          <w:b/>
          <w:bCs/>
          <w:color w:val="222222"/>
          <w:bdr w:val="none" w:sz="0" w:space="0" w:color="auto" w:frame="1"/>
          <w:shd w:val="clear" w:color="auto" w:fill="FFFFFF"/>
        </w:rPr>
        <w:t>῾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 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Al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>-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Qirā</w:t>
      </w:r>
      <w:r>
        <w:rPr>
          <w:rFonts w:ascii="Helvetica" w:hAnsi="Helvetica"/>
          <w:b/>
          <w:bCs/>
          <w:color w:val="222222"/>
          <w:bdr w:val="none" w:sz="0" w:space="0" w:color="auto" w:frame="1"/>
          <w:shd w:val="clear" w:color="auto" w:fill="FFFFFF"/>
        </w:rPr>
        <w:t>᾿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ah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” e da 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At-Tirmi</w:t>
      </w:r>
      <w:r w:rsidRPr="00D3471F">
        <w:rPr>
          <w:rFonts w:asciiTheme="majorBidi" w:hAnsiTheme="majorBidi" w:cstheme="majorBidi"/>
          <w:i/>
          <w:iCs/>
          <w:sz w:val="28"/>
          <w:szCs w:val="28"/>
          <w:u w:val="single"/>
          <w:lang w:val="it-IT"/>
        </w:rPr>
        <w:t>dh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ī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, 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Ibn Ĥibbān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 e altri, da ciò che ha riferito 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Makĥūl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, da 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Maĥmūd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 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Ibn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 </w:t>
      </w:r>
      <w:r w:rsidR="00906DC9">
        <w:rPr>
          <w:rFonts w:asciiTheme="majorBidi" w:hAnsiTheme="majorBidi" w:cstheme="majorBidi"/>
          <w:sz w:val="28"/>
          <w:szCs w:val="28"/>
          <w:lang w:val="it-IT"/>
        </w:rPr>
        <w:br/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Ar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>-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Rabī</w:t>
      </w:r>
      <w:r>
        <w:rPr>
          <w:rFonts w:asciiTheme="majorBidi" w:hAnsiTheme="majorBidi" w:cstheme="majorBidi"/>
          <w:i/>
          <w:iCs/>
          <w:sz w:val="28"/>
          <w:szCs w:val="28"/>
        </w:rPr>
        <w:t>᾿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 e da </w:t>
      </w:r>
      <w:r>
        <w:rPr>
          <w:rFonts w:asciiTheme="majorBidi" w:hAnsiTheme="majorBidi" w:cstheme="majorBidi"/>
          <w:i/>
          <w:iCs/>
          <w:sz w:val="28"/>
          <w:szCs w:val="28"/>
        </w:rPr>
        <w:t>᾿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 xml:space="preserve">Ubādah 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che al Profeta </w:t>
      </w:r>
      <w:r>
        <w:rPr>
          <w:rFonts w:ascii="Arial Unicode MS" w:hAnsi="Arial Unicode MS" w:cs="Arial Unicode MS" w:hint="eastAsia"/>
          <w:color w:val="1D2129"/>
          <w:sz w:val="21"/>
          <w:szCs w:val="21"/>
          <w:shd w:val="clear" w:color="auto" w:fill="FFFFFF"/>
          <w:rtl/>
        </w:rPr>
        <w:t>ﷺ</w:t>
      </w:r>
      <w:r w:rsidR="0009099C" w:rsidRPr="0009099C">
        <w:rPr>
          <w:rFonts w:asciiTheme="majorBidi" w:hAnsiTheme="majorBidi" w:cs="Arial Unicode MS"/>
          <w:sz w:val="28"/>
          <w:szCs w:val="28"/>
          <w:lang w:val="it-IT"/>
        </w:rPr>
        <w:t xml:space="preserve"> 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>si appesantì la recitazione nel[la preghiera de] l’Alba (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Fajr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>), e quando terminò chiese: “</w:t>
      </w:r>
      <w:r w:rsidRPr="00D3471F">
        <w:rPr>
          <w:rFonts w:asciiTheme="majorBidi" w:hAnsiTheme="majorBidi" w:cstheme="majorBidi"/>
          <w:b/>
          <w:bCs/>
          <w:i/>
          <w:iCs/>
          <w:sz w:val="28"/>
          <w:szCs w:val="28"/>
          <w:lang w:val="it-IT"/>
        </w:rPr>
        <w:t>Recitate forse dietro il vostro Imām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>?”. Rispondemmo: “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Sì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>”. Disse: “</w:t>
      </w:r>
      <w:r w:rsidRPr="00D3471F">
        <w:rPr>
          <w:rFonts w:asciiTheme="majorBidi" w:hAnsiTheme="majorBidi" w:cstheme="majorBidi"/>
          <w:b/>
          <w:bCs/>
          <w:i/>
          <w:iCs/>
          <w:sz w:val="28"/>
          <w:szCs w:val="28"/>
          <w:lang w:val="it-IT"/>
        </w:rPr>
        <w:t>Non lo fate, se non per l’Aprente della Scrittura, ché non v’è preghiera per colui che non la recita.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”. </w:t>
      </w:r>
      <w:r w:rsidRPr="00D3471F">
        <w:rPr>
          <w:rFonts w:asciiTheme="majorBidi" w:hAnsiTheme="majorBidi" w:cstheme="majorBidi"/>
          <w:lang w:val="it-IT"/>
        </w:rPr>
        <w:t>[Fine della citazione].</w:t>
      </w:r>
    </w:p>
    <w:p w:rsidR="00E76B42" w:rsidRPr="00D3471F" w:rsidRDefault="00E76B42" w:rsidP="002A50A9">
      <w:pPr>
        <w:bidi w:val="0"/>
        <w:spacing w:line="256" w:lineRule="auto"/>
        <w:jc w:val="both"/>
        <w:rPr>
          <w:rFonts w:asciiTheme="majorBidi" w:hAnsiTheme="majorBidi" w:cstheme="majorBidi"/>
          <w:sz w:val="28"/>
          <w:szCs w:val="28"/>
          <w:lang w:val="it-IT"/>
        </w:rPr>
      </w:pPr>
      <w:r w:rsidRPr="00D3471F">
        <w:rPr>
          <w:rFonts w:asciiTheme="majorBidi" w:hAnsiTheme="majorBidi" w:cstheme="majorBidi"/>
          <w:sz w:val="28"/>
          <w:szCs w:val="28"/>
          <w:lang w:val="it-IT"/>
        </w:rPr>
        <w:t>La seconda opinione è che la recitazione dell’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Imām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 vale per la recitazione di colui che gli prega dietro. La prova di questo si trova nel detto di Iddio l’Elevato: </w:t>
      </w:r>
      <w:r w:rsidRPr="00D3471F">
        <w:rPr>
          <w:rFonts w:asciiTheme="majorBidi" w:hAnsiTheme="majorBidi" w:cstheme="majorBidi"/>
          <w:b/>
          <w:bCs/>
          <w:sz w:val="28"/>
          <w:szCs w:val="28"/>
          <w:lang w:val="it-IT"/>
        </w:rPr>
        <w:t>{E quando viene recitato il Corano, udite e prestate ascolto, ché vi sia fatta misericordia}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. </w:t>
      </w:r>
      <w:r w:rsidRPr="00D3471F">
        <w:rPr>
          <w:rFonts w:asciiTheme="majorBidi" w:hAnsiTheme="majorBidi" w:cstheme="majorBidi"/>
          <w:lang w:val="it-IT"/>
        </w:rPr>
        <w:t>[Al-</w:t>
      </w:r>
      <w:r>
        <w:rPr>
          <w:rFonts w:ascii="Helvetica" w:hAnsi="Helvetica"/>
          <w:b/>
          <w:bCs/>
          <w:color w:val="222222"/>
          <w:bdr w:val="none" w:sz="0" w:space="0" w:color="auto" w:frame="1"/>
          <w:shd w:val="clear" w:color="auto" w:fill="FFFFFF"/>
        </w:rPr>
        <w:t>᾿</w:t>
      </w:r>
      <w:r w:rsidRPr="00D3471F">
        <w:rPr>
          <w:rFonts w:asciiTheme="majorBidi" w:hAnsiTheme="majorBidi" w:cstheme="majorBidi"/>
          <w:lang w:val="it-IT"/>
        </w:rPr>
        <w:t xml:space="preserve">Arāf 7:204]. 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Ibn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 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Ĥajar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 disse: “[...] e coloro che ne hanno fatto decadere [l’obbligo di recitazione] per lui (cioè colui che prega dietro l’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Imām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) nella preghiera 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 xml:space="preserve">Jahrīyyah 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(ad alta voce), come i 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Mālikiti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, citano come prova il detto: </w:t>
      </w:r>
      <w:r w:rsidRPr="00D3471F">
        <w:rPr>
          <w:rFonts w:asciiTheme="majorBidi" w:hAnsiTheme="majorBidi" w:cstheme="majorBidi"/>
          <w:b/>
          <w:bCs/>
          <w:sz w:val="28"/>
          <w:szCs w:val="28"/>
          <w:lang w:val="it-IT"/>
        </w:rPr>
        <w:t xml:space="preserve">{[…] e quando recita allora </w:t>
      </w:r>
      <w:r w:rsidRPr="00D3471F">
        <w:rPr>
          <w:rFonts w:asciiTheme="majorBidi" w:hAnsiTheme="majorBidi" w:cstheme="majorBidi"/>
          <w:b/>
          <w:bCs/>
          <w:sz w:val="28"/>
          <w:szCs w:val="28"/>
          <w:lang w:val="it-IT"/>
        </w:rPr>
        <w:lastRenderedPageBreak/>
        <w:t>prestate ascolto}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. Questo è un detto autentico che è stato trasmesso da 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Muslim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 da </w:t>
      </w:r>
      <w:r w:rsidR="00906DC9" w:rsidRPr="00906DC9">
        <w:rPr>
          <w:rFonts w:asciiTheme="majorBidi" w:hAnsiTheme="majorBidi" w:cstheme="majorBidi"/>
          <w:i/>
          <w:iCs/>
          <w:sz w:val="28"/>
          <w:szCs w:val="28"/>
          <w:lang w:val="it-IT"/>
        </w:rPr>
        <w:t>al-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ĥadī</w:t>
      </w:r>
      <w:r w:rsidRPr="00906DC9">
        <w:rPr>
          <w:rFonts w:asciiTheme="majorBidi" w:hAnsiTheme="majorBidi" w:cstheme="majorBidi"/>
          <w:i/>
          <w:iCs/>
          <w:sz w:val="28"/>
          <w:szCs w:val="28"/>
          <w:u w:val="single"/>
          <w:lang w:val="it-IT"/>
        </w:rPr>
        <w:t>th</w:t>
      </w:r>
      <w:r w:rsidRPr="00906DC9">
        <w:rPr>
          <w:rFonts w:asciiTheme="majorBidi" w:hAnsiTheme="majorBidi" w:cstheme="majorBidi"/>
          <w:i/>
          <w:iCs/>
          <w:sz w:val="28"/>
          <w:szCs w:val="28"/>
          <w:lang w:val="it-IT"/>
        </w:rPr>
        <w:t xml:space="preserve"> 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Abu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 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Mūsā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 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Al-‘A</w:t>
      </w:r>
      <w:r w:rsidRPr="00D3471F">
        <w:rPr>
          <w:rFonts w:asciiTheme="majorBidi" w:hAnsiTheme="majorBidi" w:cstheme="majorBidi"/>
          <w:i/>
          <w:iCs/>
          <w:sz w:val="28"/>
          <w:szCs w:val="28"/>
          <w:u w:val="single"/>
          <w:lang w:val="it-IT"/>
        </w:rPr>
        <w:t>sh</w:t>
      </w:r>
      <w:r>
        <w:rPr>
          <w:rFonts w:ascii="Helvetica" w:hAnsi="Helvetica"/>
          <w:b/>
          <w:bCs/>
          <w:color w:val="222222"/>
          <w:bdr w:val="none" w:sz="0" w:space="0" w:color="auto" w:frame="1"/>
          <w:shd w:val="clear" w:color="auto" w:fill="FFFFFF"/>
        </w:rPr>
        <w:t>᾿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ar</w:t>
      </w:r>
      <w:r w:rsidR="002A50A9" w:rsidRPr="002A50A9">
        <w:rPr>
          <w:rFonts w:asciiTheme="majorBidi" w:hAnsiTheme="majorBidi" w:cstheme="majorBidi"/>
          <w:i/>
          <w:iCs/>
          <w:sz w:val="28"/>
          <w:szCs w:val="28"/>
          <w:lang w:val="it-IT"/>
        </w:rPr>
        <w:t>ī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”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. </w:t>
      </w:r>
    </w:p>
    <w:p w:rsidR="00E76B42" w:rsidRPr="00D3471F" w:rsidRDefault="00E76B42" w:rsidP="00E76B42">
      <w:pPr>
        <w:bidi w:val="0"/>
        <w:spacing w:line="256" w:lineRule="auto"/>
        <w:jc w:val="both"/>
        <w:rPr>
          <w:rFonts w:asciiTheme="majorBidi" w:hAnsiTheme="majorBidi" w:cstheme="majorBidi"/>
          <w:sz w:val="28"/>
          <w:szCs w:val="28"/>
          <w:lang w:val="it-IT"/>
        </w:rPr>
      </w:pPr>
      <w:r w:rsidRPr="00D3471F">
        <w:rPr>
          <w:rFonts w:asciiTheme="majorBidi" w:hAnsiTheme="majorBidi" w:cstheme="majorBidi"/>
          <w:sz w:val="28"/>
          <w:szCs w:val="28"/>
          <w:lang w:val="it-IT"/>
        </w:rPr>
        <w:t>Coloro invece che ne sostengono l’obbligatorietà, dicono che va recitata dopo che l’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Imām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 abbia terminato la recitazione di 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Al-Fātiĥah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 e prima che inizi a recitare un’altra 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Sūrah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>, o che dev’essere recitata durante i silenzi dell’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Imām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. 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 xml:space="preserve">Ibn Ĥajar 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>disse: “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Presta ascolto quando l’Imām recita, e recita quando tace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>”.</w:t>
      </w:r>
    </w:p>
    <w:p w:rsidR="00E76B42" w:rsidRPr="00D3471F" w:rsidRDefault="00E76B42" w:rsidP="00E76B42">
      <w:pPr>
        <w:bidi w:val="0"/>
        <w:spacing w:line="256" w:lineRule="auto"/>
        <w:jc w:val="both"/>
        <w:rPr>
          <w:rFonts w:asciiTheme="majorBidi" w:hAnsiTheme="majorBidi" w:cstheme="majorBidi"/>
          <w:sz w:val="28"/>
          <w:szCs w:val="28"/>
          <w:lang w:val="it-IT"/>
        </w:rPr>
      </w:pP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A</w:t>
      </w:r>
      <w:r w:rsidRPr="00D3471F">
        <w:rPr>
          <w:rFonts w:asciiTheme="majorBidi" w:hAnsiTheme="majorBidi" w:cstheme="majorBidi"/>
          <w:i/>
          <w:iCs/>
          <w:sz w:val="28"/>
          <w:szCs w:val="28"/>
          <w:u w:val="single"/>
          <w:lang w:val="it-IT"/>
        </w:rPr>
        <w:t>sh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-</w:t>
      </w:r>
      <w:r w:rsidRPr="00D3471F">
        <w:rPr>
          <w:rFonts w:asciiTheme="majorBidi" w:hAnsiTheme="majorBidi" w:cstheme="majorBidi"/>
          <w:i/>
          <w:iCs/>
          <w:sz w:val="28"/>
          <w:szCs w:val="28"/>
          <w:u w:val="single"/>
          <w:lang w:val="it-IT"/>
        </w:rPr>
        <w:t>Sh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ay</w:t>
      </w:r>
      <w:r w:rsidRPr="00D3471F">
        <w:rPr>
          <w:rFonts w:asciiTheme="majorBidi" w:hAnsiTheme="majorBidi" w:cstheme="majorBidi"/>
          <w:i/>
          <w:iCs/>
          <w:sz w:val="28"/>
          <w:szCs w:val="28"/>
          <w:u w:val="single"/>
          <w:lang w:val="it-IT"/>
        </w:rPr>
        <w:t>kh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 xml:space="preserve"> Ibn Bāz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 disse: “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Ciò che si intende per “silenzi dell’Imām” è qualunque silenzio da parte dell’Imām, durante Al-Fātiĥah o dopo averla recitata, o nella Sūrah che recita in seguito ad essa; se l’imam non tace, allora che reciti Al-Fātiĥah colui che sta pregando dietro di lui, anche se l’Imām è in recitazione, secondo la più corretta delle due opinioni sapienziali.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” </w:t>
      </w:r>
      <w:r w:rsidRPr="00D3471F">
        <w:rPr>
          <w:rFonts w:asciiTheme="majorBidi" w:hAnsiTheme="majorBidi" w:cstheme="majorBidi"/>
          <w:lang w:val="it-IT"/>
        </w:rPr>
        <w:t>[Vedi “</w:t>
      </w:r>
      <w:r w:rsidRPr="00D3471F">
        <w:rPr>
          <w:rFonts w:asciiTheme="majorBidi" w:hAnsiTheme="majorBidi" w:cstheme="majorBidi"/>
          <w:i/>
          <w:iCs/>
          <w:lang w:val="it-IT"/>
        </w:rPr>
        <w:t>Fatāwā A</w:t>
      </w:r>
      <w:r w:rsidRPr="00D3471F">
        <w:rPr>
          <w:rFonts w:asciiTheme="majorBidi" w:hAnsiTheme="majorBidi" w:cstheme="majorBidi"/>
          <w:i/>
          <w:iCs/>
          <w:u w:val="single"/>
          <w:lang w:val="it-IT"/>
        </w:rPr>
        <w:t>sh</w:t>
      </w:r>
      <w:r w:rsidRPr="00D3471F">
        <w:rPr>
          <w:rFonts w:asciiTheme="majorBidi" w:hAnsiTheme="majorBidi" w:cstheme="majorBidi"/>
          <w:i/>
          <w:iCs/>
          <w:lang w:val="it-IT"/>
        </w:rPr>
        <w:t>-</w:t>
      </w:r>
      <w:r w:rsidRPr="00D3471F">
        <w:rPr>
          <w:rFonts w:asciiTheme="majorBidi" w:hAnsiTheme="majorBidi" w:cstheme="majorBidi"/>
          <w:i/>
          <w:iCs/>
          <w:u w:val="single"/>
          <w:lang w:val="it-IT"/>
        </w:rPr>
        <w:t>Sh</w:t>
      </w:r>
      <w:r w:rsidRPr="00D3471F">
        <w:rPr>
          <w:rFonts w:asciiTheme="majorBidi" w:hAnsiTheme="majorBidi" w:cstheme="majorBidi"/>
          <w:i/>
          <w:iCs/>
          <w:lang w:val="it-IT"/>
        </w:rPr>
        <w:t>ay</w:t>
      </w:r>
      <w:r w:rsidRPr="00D3471F">
        <w:rPr>
          <w:rFonts w:asciiTheme="majorBidi" w:hAnsiTheme="majorBidi" w:cstheme="majorBidi"/>
          <w:i/>
          <w:iCs/>
          <w:u w:val="single"/>
          <w:lang w:val="it-IT"/>
        </w:rPr>
        <w:t>kh</w:t>
      </w:r>
      <w:r w:rsidRPr="00D3471F">
        <w:rPr>
          <w:rFonts w:asciiTheme="majorBidi" w:hAnsiTheme="majorBidi" w:cstheme="majorBidi"/>
          <w:i/>
          <w:iCs/>
          <w:lang w:val="it-IT"/>
        </w:rPr>
        <w:t xml:space="preserve"> Ibn Bāz</w:t>
      </w:r>
      <w:r w:rsidRPr="00D3471F">
        <w:rPr>
          <w:rFonts w:asciiTheme="majorBidi" w:hAnsiTheme="majorBidi" w:cstheme="majorBidi"/>
          <w:lang w:val="it-IT"/>
        </w:rPr>
        <w:t>”, (11/221)]</w:t>
      </w:r>
    </w:p>
    <w:p w:rsidR="00E76B42" w:rsidRPr="00D3471F" w:rsidRDefault="00E76B42" w:rsidP="00E76B42">
      <w:pPr>
        <w:bidi w:val="0"/>
        <w:spacing w:line="256" w:lineRule="auto"/>
        <w:jc w:val="both"/>
        <w:rPr>
          <w:rFonts w:asciiTheme="majorBidi" w:hAnsiTheme="majorBidi" w:cstheme="majorBidi"/>
          <w:sz w:val="28"/>
          <w:szCs w:val="28"/>
          <w:lang w:val="it-IT"/>
        </w:rPr>
      </w:pP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La 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Commissione Permanente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 (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Al-Lajnah Ad-Dā</w:t>
      </w:r>
      <w:r>
        <w:rPr>
          <w:rFonts w:asciiTheme="majorBidi" w:hAnsiTheme="majorBidi" w:cstheme="majorBidi"/>
          <w:i/>
          <w:iCs/>
          <w:sz w:val="28"/>
          <w:szCs w:val="28"/>
        </w:rPr>
        <w:t>῾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imah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>) è stata interrogata su una questione è simile e ha risposto come segue:</w:t>
      </w:r>
    </w:p>
    <w:p w:rsidR="009350C8" w:rsidRDefault="00E76B42" w:rsidP="00E76B42">
      <w:pPr>
        <w:bidi w:val="0"/>
        <w:spacing w:line="256" w:lineRule="auto"/>
        <w:jc w:val="both"/>
        <w:rPr>
          <w:rFonts w:asciiTheme="majorBidi" w:hAnsiTheme="majorBidi" w:cstheme="majorBidi"/>
          <w:sz w:val="28"/>
          <w:szCs w:val="28"/>
          <w:lang w:val="it-IT"/>
        </w:rPr>
      </w:pP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“L’opinione sapienziale corretta è che sia obbligatorio recitare 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 xml:space="preserve">Al-Fātiĥah 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>per il singolo, l’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Imām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 e colui che prega dietro a lui (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ma</w:t>
      </w:r>
      <w:r>
        <w:rPr>
          <w:rFonts w:asciiTheme="majorBidi" w:hAnsiTheme="majorBidi" w:cstheme="majorBidi"/>
          <w:i/>
          <w:iCs/>
          <w:sz w:val="28"/>
          <w:szCs w:val="28"/>
        </w:rPr>
        <w:t>῾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mūm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), sia nelle preghiere 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Jahrīyyah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 (ad alta voce) sia in quelle 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Sirrīah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 (sottovoce), e ciò per l’autenticità delle prove e la loro particolarità a riguardo, mentre il versetto: </w:t>
      </w:r>
      <w:r w:rsidRPr="00D3471F">
        <w:rPr>
          <w:rFonts w:asciiTheme="majorBidi" w:hAnsiTheme="majorBidi" w:cstheme="majorBidi"/>
          <w:b/>
          <w:bCs/>
          <w:sz w:val="28"/>
          <w:szCs w:val="28"/>
          <w:lang w:val="it-IT"/>
        </w:rPr>
        <w:t xml:space="preserve">{E quando viene recitato il Corano, udite e prestate ascolto, ché vi sia fatta misericordia} </w:t>
      </w:r>
      <w:r w:rsidRPr="00D3471F">
        <w:rPr>
          <w:rFonts w:asciiTheme="majorBidi" w:hAnsiTheme="majorBidi" w:cstheme="majorBidi"/>
          <w:lang w:val="it-IT"/>
        </w:rPr>
        <w:t>[Al-</w:t>
      </w:r>
      <w:r>
        <w:rPr>
          <w:rFonts w:ascii="Helvetica" w:hAnsi="Helvetica"/>
          <w:b/>
          <w:bCs/>
          <w:color w:val="222222"/>
          <w:bdr w:val="none" w:sz="0" w:space="0" w:color="auto" w:frame="1"/>
          <w:shd w:val="clear" w:color="auto" w:fill="FFFFFF"/>
        </w:rPr>
        <w:t>᾿</w:t>
      </w:r>
      <w:r w:rsidRPr="00D3471F">
        <w:rPr>
          <w:rFonts w:asciiTheme="majorBidi" w:hAnsiTheme="majorBidi" w:cstheme="majorBidi"/>
          <w:lang w:val="it-IT"/>
        </w:rPr>
        <w:t xml:space="preserve">Arāf 7:204] 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è generale, e lo stesso il detto del Profeta </w:t>
      </w:r>
      <w:r>
        <w:rPr>
          <w:rFonts w:ascii="Arial Unicode MS" w:hAnsi="Arial Unicode MS" w:cs="Arial Unicode MS" w:hint="eastAsia"/>
          <w:color w:val="1D2129"/>
          <w:sz w:val="21"/>
          <w:szCs w:val="21"/>
          <w:shd w:val="clear" w:color="auto" w:fill="FFFFFF"/>
          <w:rtl/>
        </w:rPr>
        <w:t>ﷺ</w:t>
      </w:r>
      <w:r w:rsidRPr="00D3471F">
        <w:rPr>
          <w:rFonts w:ascii="Arial Unicode MS" w:hAnsi="Arial Unicode MS" w:cs="Arial Unicode MS" w:hint="eastAsia"/>
          <w:color w:val="1D2129"/>
          <w:sz w:val="21"/>
          <w:szCs w:val="21"/>
          <w:shd w:val="clear" w:color="auto" w:fill="FFFFFF"/>
          <w:lang w:val="it-IT"/>
        </w:rPr>
        <w:t>: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 “</w:t>
      </w:r>
      <w:r w:rsidRPr="00D3471F">
        <w:rPr>
          <w:rFonts w:asciiTheme="majorBidi" w:hAnsiTheme="majorBidi" w:cstheme="majorBidi"/>
          <w:b/>
          <w:bCs/>
          <w:i/>
          <w:iCs/>
          <w:sz w:val="28"/>
          <w:szCs w:val="28"/>
          <w:lang w:val="it-IT"/>
        </w:rPr>
        <w:t>Quando viene recitato il Corano, allora prestate ascolto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” è generale per 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Al-Fātiĥah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 come per le altre sure, pertanto si renderanno specifici entrambi per mezzo del </w:t>
      </w:r>
      <w:r w:rsidRPr="00D3471F">
        <w:rPr>
          <w:rFonts w:asciiTheme="majorBidi" w:hAnsiTheme="majorBidi" w:cstheme="majorBidi"/>
          <w:iCs/>
          <w:sz w:val="28"/>
          <w:szCs w:val="28"/>
          <w:lang w:val="it-IT"/>
        </w:rPr>
        <w:t>detto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>: “</w:t>
      </w:r>
      <w:r w:rsidRPr="00D3471F">
        <w:rPr>
          <w:rFonts w:asciiTheme="majorBidi" w:hAnsiTheme="majorBidi" w:cstheme="majorBidi"/>
          <w:b/>
          <w:bCs/>
          <w:i/>
          <w:iCs/>
          <w:sz w:val="28"/>
          <w:szCs w:val="28"/>
          <w:lang w:val="it-IT"/>
        </w:rPr>
        <w:t>Non v’è preghiera per chi non recita l’Aprente della Scrittura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”, in conciliazione tra le prove solide. </w:t>
      </w:r>
    </w:p>
    <w:p w:rsidR="00E76B42" w:rsidRPr="00D3471F" w:rsidRDefault="00E76B42" w:rsidP="009350C8">
      <w:pPr>
        <w:bidi w:val="0"/>
        <w:spacing w:line="256" w:lineRule="auto"/>
        <w:jc w:val="both"/>
        <w:rPr>
          <w:rFonts w:asciiTheme="majorBidi" w:hAnsiTheme="majorBidi" w:cstheme="majorBidi"/>
          <w:sz w:val="28"/>
          <w:szCs w:val="28"/>
          <w:lang w:val="it-IT"/>
        </w:rPr>
      </w:pPr>
      <w:r w:rsidRPr="00D3471F">
        <w:rPr>
          <w:rFonts w:asciiTheme="majorBidi" w:hAnsiTheme="majorBidi" w:cstheme="majorBidi"/>
          <w:sz w:val="28"/>
          <w:szCs w:val="28"/>
          <w:lang w:val="it-IT"/>
        </w:rPr>
        <w:lastRenderedPageBreak/>
        <w:t>Il detto: “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Chi dovesse avere un Imām, allora la recitazione dell’Imām è per lui recitazione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>” è invece debole (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ḑa</w:t>
      </w:r>
      <w:r>
        <w:rPr>
          <w:rFonts w:asciiTheme="majorBidi" w:hAnsiTheme="majorBidi" w:cstheme="majorBidi"/>
          <w:i/>
          <w:iCs/>
          <w:sz w:val="28"/>
          <w:szCs w:val="28"/>
        </w:rPr>
        <w:t>᾿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īf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). Inoltre non è corretto ciò che viene sostenuto da alcuni: che 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Ta</w:t>
      </w:r>
      <w:r>
        <w:rPr>
          <w:rFonts w:asciiTheme="majorBidi" w:hAnsiTheme="majorBidi" w:cstheme="majorBidi"/>
          <w:i/>
          <w:iCs/>
          <w:sz w:val="28"/>
          <w:szCs w:val="28"/>
        </w:rPr>
        <w:t>῾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mīn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 (cioè il dire “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Amīn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”) della congregazione alla recitazione 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dell’Imām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 di</w:t>
      </w:r>
      <w:r w:rsidR="009350C8">
        <w:rPr>
          <w:rFonts w:asciiTheme="majorBidi" w:hAnsiTheme="majorBidi" w:cstheme="majorBidi"/>
          <w:sz w:val="28"/>
          <w:szCs w:val="28"/>
          <w:lang w:val="it-IT"/>
        </w:rPr>
        <w:t xml:space="preserve"> 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Al-Fātiĥah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 sostituirebbe la loro recitazione della stessa.</w:t>
      </w:r>
    </w:p>
    <w:p w:rsidR="00E76B42" w:rsidRPr="00D3471F" w:rsidRDefault="00E76B42" w:rsidP="00E76B42">
      <w:pPr>
        <w:bidi w:val="0"/>
        <w:spacing w:line="256" w:lineRule="auto"/>
        <w:jc w:val="both"/>
        <w:rPr>
          <w:rFonts w:asciiTheme="majorBidi" w:hAnsiTheme="majorBidi" w:cstheme="majorBidi"/>
          <w:sz w:val="28"/>
          <w:szCs w:val="28"/>
          <w:lang w:val="it-IT"/>
        </w:rPr>
      </w:pPr>
      <w:r w:rsidRPr="00D3471F">
        <w:rPr>
          <w:rFonts w:asciiTheme="majorBidi" w:hAnsiTheme="majorBidi" w:cstheme="majorBidi"/>
          <w:sz w:val="28"/>
          <w:szCs w:val="28"/>
          <w:lang w:val="it-IT"/>
        </w:rPr>
        <w:t>Occorre che non facciate del disaccordo tra i sapienti in merito a questa questione motivo di odio, divisione o opposizione. Piuttosto, è necessario da parte vostra più studio, lettura e ricerca scientifica. E se qualcuno di voi segue un sapiente che sostiene che chi preghi dietro l’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Imām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 debba recitare 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Al-Fātiĥah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 nelle preghiere 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 xml:space="preserve">Jahrīyyah 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>(ad alta voce) e altri seguono un sapiente che sostiene che debbano invece prestare ascolto all’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Imām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 nelle preghiere 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 xml:space="preserve">Jahrīyyah 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>(ad alta voce), e che sia sufficiente la recitazione dell’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Imām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 di </w:t>
      </w:r>
      <w:r w:rsidRPr="00D3471F">
        <w:rPr>
          <w:rFonts w:asciiTheme="majorBidi" w:hAnsiTheme="majorBidi" w:cstheme="majorBidi"/>
          <w:i/>
          <w:iCs/>
          <w:sz w:val="28"/>
          <w:szCs w:val="28"/>
          <w:lang w:val="it-IT"/>
        </w:rPr>
        <w:t>Al-Fātiĥah</w:t>
      </w:r>
      <w:r w:rsidRPr="00D3471F">
        <w:rPr>
          <w:rFonts w:asciiTheme="majorBidi" w:hAnsiTheme="majorBidi" w:cstheme="majorBidi"/>
          <w:sz w:val="28"/>
          <w:szCs w:val="28"/>
          <w:lang w:val="it-IT"/>
        </w:rPr>
        <w:t>, non c’è nulla di male in ciò e non c’è alcun bisogno che un gruppo attacchi l’altro, e nemmeno che si odino a causa di ciò.</w:t>
      </w:r>
    </w:p>
    <w:p w:rsidR="009350C8" w:rsidRDefault="00E76B42" w:rsidP="00E76B42">
      <w:pPr>
        <w:bidi w:val="0"/>
        <w:spacing w:line="256" w:lineRule="auto"/>
        <w:jc w:val="both"/>
        <w:rPr>
          <w:rFonts w:asciiTheme="majorBidi" w:hAnsiTheme="majorBidi" w:cstheme="majorBidi"/>
          <w:sz w:val="28"/>
          <w:szCs w:val="28"/>
          <w:lang w:val="it-IT"/>
        </w:rPr>
      </w:pPr>
      <w:r w:rsidRPr="00D3471F">
        <w:rPr>
          <w:rFonts w:asciiTheme="majorBidi" w:hAnsiTheme="majorBidi" w:cstheme="majorBidi"/>
          <w:sz w:val="28"/>
          <w:szCs w:val="28"/>
          <w:lang w:val="it-IT"/>
        </w:rPr>
        <w:t xml:space="preserve">Devono invece essere tolleranti di fronte ai disaccordi tra sapienti e alle ragioni di ciò, e domandare a Iddio di guidarli alla verità in ciò in cui si è verificato disaccordo, e invero Egli è l’Audiente, Colui che risponde all’invocazione. </w:t>
      </w:r>
    </w:p>
    <w:p w:rsidR="00E76B42" w:rsidRPr="00D3471F" w:rsidRDefault="00E76B42" w:rsidP="009350C8">
      <w:pPr>
        <w:bidi w:val="0"/>
        <w:spacing w:line="256" w:lineRule="auto"/>
        <w:jc w:val="both"/>
        <w:rPr>
          <w:rFonts w:asciiTheme="majorBidi" w:hAnsiTheme="majorBidi" w:cstheme="majorBidi"/>
          <w:sz w:val="28"/>
          <w:szCs w:val="28"/>
          <w:lang w:val="it-IT"/>
        </w:rPr>
      </w:pPr>
      <w:r w:rsidRPr="00D3471F">
        <w:rPr>
          <w:rFonts w:asciiTheme="majorBidi" w:hAnsiTheme="majorBidi" w:cstheme="majorBidi"/>
          <w:sz w:val="28"/>
          <w:szCs w:val="28"/>
          <w:lang w:val="it-IT"/>
        </w:rPr>
        <w:t>Che Iddio elogi il nostro Profeta Muĥammad”.</w:t>
      </w:r>
    </w:p>
    <w:p w:rsidR="00E76B42" w:rsidRPr="00D3471F" w:rsidRDefault="00E76B42" w:rsidP="00E76B42">
      <w:pPr>
        <w:bidi w:val="0"/>
        <w:spacing w:line="256" w:lineRule="auto"/>
        <w:jc w:val="both"/>
        <w:rPr>
          <w:rFonts w:asciiTheme="majorBidi" w:hAnsiTheme="majorBidi" w:cstheme="majorBidi"/>
          <w:sz w:val="28"/>
          <w:szCs w:val="28"/>
          <w:lang w:val="it-IT"/>
        </w:rPr>
      </w:pPr>
    </w:p>
    <w:p w:rsidR="00CA5FDC" w:rsidRPr="00CA5FDC" w:rsidRDefault="00E76B42" w:rsidP="00E76B42">
      <w:pPr>
        <w:spacing w:line="240" w:lineRule="auto"/>
        <w:jc w:val="right"/>
        <w:rPr>
          <w:rFonts w:asciiTheme="majorBidi" w:eastAsia="Verdana" w:hAnsiTheme="majorBidi" w:cstheme="majorBidi"/>
          <w:color w:val="800000"/>
          <w:sz w:val="28"/>
          <w:szCs w:val="28"/>
          <w:lang w:val="it-IT" w:eastAsia="zh-CN" w:bidi="ar-SY"/>
        </w:rPr>
      </w:pPr>
      <w:r w:rsidRPr="00D3471F">
        <w:rPr>
          <w:rFonts w:asciiTheme="majorBidi" w:eastAsia="Verdana" w:hAnsiTheme="majorBidi" w:cstheme="majorBidi"/>
          <w:i/>
          <w:iCs/>
          <w:sz w:val="28"/>
          <w:szCs w:val="28"/>
          <w:lang w:val="it-IT" w:eastAsia="zh-CN" w:bidi="ar-SY"/>
        </w:rPr>
        <w:t>A</w:t>
      </w:r>
      <w:r w:rsidRPr="00D3471F">
        <w:rPr>
          <w:rFonts w:asciiTheme="majorBidi" w:eastAsia="Verdana" w:hAnsiTheme="majorBidi" w:cstheme="majorBidi"/>
          <w:i/>
          <w:iCs/>
          <w:sz w:val="28"/>
          <w:szCs w:val="28"/>
          <w:u w:val="single"/>
          <w:lang w:val="it-IT" w:eastAsia="zh-CN" w:bidi="ar-SY"/>
        </w:rPr>
        <w:t>sh</w:t>
      </w:r>
      <w:r w:rsidRPr="00D3471F">
        <w:rPr>
          <w:rFonts w:asciiTheme="majorBidi" w:eastAsia="Verdana" w:hAnsiTheme="majorBidi" w:cstheme="majorBidi"/>
          <w:i/>
          <w:iCs/>
          <w:sz w:val="28"/>
          <w:szCs w:val="28"/>
          <w:lang w:val="it-IT" w:eastAsia="zh-CN" w:bidi="ar-SY"/>
        </w:rPr>
        <w:t>-</w:t>
      </w:r>
      <w:r w:rsidRPr="00D3471F">
        <w:rPr>
          <w:rFonts w:asciiTheme="majorBidi" w:eastAsia="Verdana" w:hAnsiTheme="majorBidi" w:cstheme="majorBidi"/>
          <w:i/>
          <w:iCs/>
          <w:sz w:val="28"/>
          <w:szCs w:val="28"/>
          <w:u w:val="single"/>
          <w:lang w:val="it-IT" w:eastAsia="zh-CN" w:bidi="ar-SY"/>
        </w:rPr>
        <w:t>Sh</w:t>
      </w:r>
      <w:r w:rsidRPr="00D3471F">
        <w:rPr>
          <w:rFonts w:asciiTheme="majorBidi" w:eastAsia="Verdana" w:hAnsiTheme="majorBidi" w:cstheme="majorBidi"/>
          <w:i/>
          <w:iCs/>
          <w:sz w:val="28"/>
          <w:szCs w:val="28"/>
          <w:lang w:val="it-IT" w:eastAsia="zh-CN" w:bidi="ar-SY"/>
        </w:rPr>
        <w:t>ay</w:t>
      </w:r>
      <w:r w:rsidRPr="00D3471F">
        <w:rPr>
          <w:rFonts w:asciiTheme="majorBidi" w:eastAsia="Verdana" w:hAnsiTheme="majorBidi" w:cstheme="majorBidi"/>
          <w:i/>
          <w:iCs/>
          <w:sz w:val="28"/>
          <w:szCs w:val="28"/>
          <w:u w:val="single"/>
          <w:lang w:val="it-IT" w:eastAsia="zh-CN" w:bidi="ar-SY"/>
        </w:rPr>
        <w:t>kh</w:t>
      </w:r>
      <w:r w:rsidRPr="00D3471F">
        <w:rPr>
          <w:rFonts w:asciiTheme="majorBidi" w:eastAsia="Verdana" w:hAnsiTheme="majorBidi" w:cstheme="majorBidi"/>
          <w:i/>
          <w:iCs/>
          <w:sz w:val="28"/>
          <w:szCs w:val="28"/>
          <w:lang w:val="it-IT" w:eastAsia="zh-CN" w:bidi="ar-SY"/>
        </w:rPr>
        <w:t xml:space="preserve"> Muĥammad Şāliĥ Al-Munajjid.</w:t>
      </w:r>
    </w:p>
    <w:bookmarkEnd w:id="3"/>
    <w:p w:rsidR="00FD1E49" w:rsidRPr="00CA5FDC" w:rsidRDefault="00FD1E49" w:rsidP="00FD1E49">
      <w:pPr>
        <w:tabs>
          <w:tab w:val="left" w:pos="2910"/>
        </w:tabs>
        <w:bidi w:val="0"/>
        <w:rPr>
          <w:rFonts w:ascii="Arial" w:hAnsi="Arial" w:cs="Arial"/>
          <w:color w:val="006666"/>
          <w:sz w:val="36"/>
          <w:szCs w:val="36"/>
          <w:rtl/>
          <w:lang w:bidi="ar-EG"/>
        </w:rPr>
      </w:pPr>
    </w:p>
    <w:p w:rsidR="00FD1E49" w:rsidRPr="00DA5D93" w:rsidRDefault="00FD1E49" w:rsidP="00FD1E49">
      <w:pPr>
        <w:tabs>
          <w:tab w:val="left" w:pos="2910"/>
        </w:tabs>
        <w:bidi w:val="0"/>
        <w:rPr>
          <w:rFonts w:cstheme="minorHAnsi"/>
          <w:color w:val="006666"/>
          <w:sz w:val="36"/>
          <w:szCs w:val="36"/>
          <w:rtl/>
          <w:lang w:bidi="ar-EG"/>
        </w:rPr>
      </w:pPr>
    </w:p>
    <w:p w:rsidR="00FD1E49" w:rsidRPr="00DA5D93" w:rsidRDefault="00FD1E49" w:rsidP="00FD1E49">
      <w:pPr>
        <w:tabs>
          <w:tab w:val="left" w:pos="2910"/>
        </w:tabs>
        <w:bidi w:val="0"/>
        <w:rPr>
          <w:rFonts w:cstheme="minorHAnsi"/>
          <w:color w:val="006666"/>
          <w:sz w:val="36"/>
          <w:szCs w:val="36"/>
          <w:rtl/>
          <w:lang w:bidi="ar-EG"/>
        </w:rPr>
      </w:pPr>
    </w:p>
    <w:sectPr w:rsidR="00FD1E49" w:rsidRPr="00DA5D93" w:rsidSect="00CF6C11">
      <w:headerReference w:type="even" r:id="rId13"/>
      <w:pgSz w:w="9072" w:h="13608" w:code="9"/>
      <w:pgMar w:top="1134" w:right="1134" w:bottom="1134" w:left="1134" w:header="709" w:footer="45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77C1" w:rsidRDefault="00D877C1" w:rsidP="00E32771">
      <w:pPr>
        <w:spacing w:after="0" w:line="240" w:lineRule="auto"/>
      </w:pPr>
      <w:r>
        <w:separator/>
      </w:r>
    </w:p>
  </w:endnote>
  <w:endnote w:type="continuationSeparator" w:id="0">
    <w:p w:rsidR="00D877C1" w:rsidRDefault="00D877C1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" w:fontKey="{A9E2B71A-F066-4B88-9FB3-40AC543A1E7F}"/>
    <w:embedBold r:id="rId2" w:fontKey="{2690C0AC-61A9-4A72-865C-C827F5B616F9}"/>
    <w:embedItalic r:id="rId3" w:fontKey="{1B24C855-08CD-4238-B65F-E384600AC0E3}"/>
    <w:embedBoldItalic r:id="rId4" w:fontKey="{4892400D-B528-4DC5-8FCF-7CB8E3E60A2A}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  <w:embedRegular r:id="rId5" w:fontKey="{3FF2D191-9F20-4CFB-A743-6C75D100F33A}"/>
    <w:embedBold r:id="rId6" w:fontKey="{32473521-4A58-4176-9810-FB5ADB81831B}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  <w:embedRegular r:id="rId7" w:fontKey="{2CADC42E-AB85-4B6A-B387-9B6C5E779C56}"/>
    <w:embedBold r:id="rId8" w:fontKey="{011700C4-7C84-4B26-BD81-91E7CC275BD2}"/>
    <w:embedItalic r:id="rId9" w:fontKey="{421041A9-7CBD-4E73-88DF-FB006BCC378A}"/>
    <w:embedBoldItalic r:id="rId10" w:fontKey="{C81388F1-62BD-4A49-9344-B4F790FE8BB3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1" w:fontKey="{8C95CB88-D740-44C0-A778-76D345CE3CBF}"/>
    <w:embedBold r:id="rId12" w:fontKey="{438B34E2-6F42-4750-9E64-BC8395E71A77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13" w:fontKey="{7A0D8260-95B2-475C-BEB5-669D70668F02}"/>
    <w:embedItalic r:id="rId14" w:fontKey="{37EA8A9A-2D16-4CFF-A09F-B7826F1CF923}"/>
  </w:font>
  <w:font w:name="Gotham Light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0B" w:csb1="00000000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5" w:fontKey="{8656CF49-4717-4583-AD08-5150B6416FF6}"/>
  </w:font>
  <w:font w:name="Calibri Light">
    <w:altName w:val="Calibri"/>
    <w:panose1 w:val="020F03020202040302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16" w:subsetted="1" w:fontKey="{764B3C1C-088B-49E5-9D75-EEAC88A1D9C8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7" w:fontKey="{930CAE6B-AB8D-4AF9-B6FA-F7A9A0B2C906}"/>
    <w:embedBold r:id="rId18" w:fontKey="{168B8572-CCE8-44AC-8A46-05B2AB603969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9" w:fontKey="{87F25587-5E3F-4B81-8003-2729E7791F42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20" w:fontKey="{9539977D-0E1F-402A-B6D1-DAC23E8EF663}"/>
  </w:font>
  <w:font w:name="ae_AlArabiya">
    <w:panose1 w:val="02060603050605020204"/>
    <w:charset w:val="00"/>
    <w:family w:val="roman"/>
    <w:pitch w:val="variable"/>
    <w:sig w:usb0="800020AF" w:usb1="C000204A" w:usb2="00000008" w:usb3="00000000" w:csb0="00000041" w:csb1="00000000"/>
    <w:embedBold r:id="rId21" w:fontKey="{F92748E5-2802-422B-9B5E-A4C16FF3D468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22" w:fontKey="{1D221ADB-292A-4D07-8468-5DA117D87EF1}"/>
    <w:embedBold r:id="rId23" w:fontKey="{448F1B3E-3C56-464A-8664-42EE5689D83E}"/>
  </w:font>
  <w:font w:name="Adobe نسخ Medium">
    <w:altName w:val="Arial"/>
    <w:panose1 w:val="00000000000000000000"/>
    <w:charset w:val="00"/>
    <w:family w:val="modern"/>
    <w:notTrueType/>
    <w:pitch w:val="variable"/>
    <w:sig w:usb0="00002003" w:usb1="00000000" w:usb2="00000000" w:usb3="00000000" w:csb0="00000041" w:csb1="00000000"/>
  </w:font>
  <w:font w:name="Helvetica">
    <w:panose1 w:val="020B0504020202020204"/>
    <w:charset w:val="00"/>
    <w:family w:val="swiss"/>
    <w:pitch w:val="variable"/>
    <w:sig w:usb0="E0002AFF" w:usb1="00007843" w:usb2="00000001" w:usb3="00000000" w:csb0="000001FF" w:csb1="00000000"/>
    <w:embedRegular r:id="rId24" w:fontKey="{4F850510-5B61-4AA7-A037-43FA35A3334B}"/>
    <w:embedBold r:id="rId25" w:fontKey="{EC34FF67-67E8-4ED9-BA2A-0247E939D59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  <w:szCs w:val="24"/>
        <w:rtl/>
      </w:rPr>
      <w:id w:val="141081019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D1E49" w:rsidRPr="005426F6" w:rsidRDefault="00FD1E49" w:rsidP="005426F6">
        <w:pPr>
          <w:pStyle w:val="Footer"/>
          <w:jc w:val="center"/>
          <w:rPr>
            <w:sz w:val="24"/>
            <w:szCs w:val="24"/>
          </w:rPr>
        </w:pPr>
        <w:r w:rsidRPr="005426F6">
          <w:rPr>
            <w:sz w:val="28"/>
            <w:szCs w:val="28"/>
          </w:rPr>
          <w:fldChar w:fldCharType="begin"/>
        </w:r>
        <w:r w:rsidRPr="005426F6">
          <w:rPr>
            <w:sz w:val="28"/>
            <w:szCs w:val="28"/>
          </w:rPr>
          <w:instrText xml:space="preserve"> PAGE   \* MERGEFORMAT </w:instrText>
        </w:r>
        <w:r w:rsidRPr="005426F6">
          <w:rPr>
            <w:sz w:val="28"/>
            <w:szCs w:val="28"/>
          </w:rPr>
          <w:fldChar w:fldCharType="separate"/>
        </w:r>
        <w:r w:rsidR="00A112A6">
          <w:rPr>
            <w:noProof/>
            <w:sz w:val="28"/>
            <w:szCs w:val="28"/>
          </w:rPr>
          <w:t>4</w:t>
        </w:r>
        <w:r w:rsidRPr="005426F6">
          <w:rPr>
            <w:noProof/>
            <w:sz w:val="28"/>
            <w:szCs w:val="28"/>
          </w:rPr>
          <w:fldChar w:fldCharType="end"/>
        </w:r>
      </w:p>
    </w:sdtContent>
  </w:sdt>
  <w:p w:rsidR="00FD1E49" w:rsidRDefault="00FD1E49" w:rsidP="006D26A1">
    <w:pPr>
      <w:pStyle w:val="Footer"/>
      <w:tabs>
        <w:tab w:val="clear" w:pos="4153"/>
        <w:tab w:val="clear" w:pos="8306"/>
        <w:tab w:val="left" w:pos="3465"/>
        <w:tab w:val="left" w:pos="4449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77C1" w:rsidRDefault="00D877C1" w:rsidP="00184B62">
      <w:pPr>
        <w:bidi w:val="0"/>
        <w:spacing w:after="0" w:line="240" w:lineRule="auto"/>
      </w:pPr>
      <w:r>
        <w:separator/>
      </w:r>
    </w:p>
  </w:footnote>
  <w:footnote w:type="continuationSeparator" w:id="0">
    <w:p w:rsidR="00D877C1" w:rsidRDefault="00D877C1" w:rsidP="00223B3B">
      <w:pPr>
        <w:bidi w:val="0"/>
        <w:spacing w:after="0" w:line="240" w:lineRule="auto"/>
      </w:pPr>
      <w:r>
        <w:continuationSeparator/>
      </w:r>
    </w:p>
  </w:footnote>
  <w:footnote w:type="continuationNotice" w:id="1">
    <w:p w:rsidR="00D877C1" w:rsidRDefault="00D877C1" w:rsidP="00223B3B">
      <w:pPr>
        <w:bidi w:val="0"/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E49" w:rsidRDefault="00FD1E49">
    <w:pPr>
      <w:pStyle w:val="Header"/>
      <w:rPr>
        <w:lang w:bidi="ar-EG"/>
      </w:rPr>
    </w:pPr>
    <w:r>
      <w:rPr>
        <w:noProof/>
        <w:lang w:bidi="ta-IN"/>
      </w:rPr>
      <mc:AlternateContent>
        <mc:Choice Requires="wpg">
          <w:drawing>
            <wp:anchor distT="0" distB="0" distL="114300" distR="114300" simplePos="0" relativeHeight="251680768" behindDoc="0" locked="0" layoutInCell="1" allowOverlap="1" wp14:anchorId="77450F08" wp14:editId="2F5E8FEE">
              <wp:simplePos x="0" y="0"/>
              <wp:positionH relativeFrom="column">
                <wp:posOffset>-153523</wp:posOffset>
              </wp:positionH>
              <wp:positionV relativeFrom="paragraph">
                <wp:posOffset>-300746</wp:posOffset>
              </wp:positionV>
              <wp:extent cx="4315118" cy="367665"/>
              <wp:effectExtent l="0" t="0" r="28575" b="0"/>
              <wp:wrapNone/>
              <wp:docPr id="7" name="Group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5118" cy="367665"/>
                        <a:chOff x="0" y="0"/>
                        <a:chExt cx="4315118" cy="367665"/>
                      </a:xfrm>
                    </wpg:grpSpPr>
                    <wps:wsp>
                      <wps:cNvPr id="1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385E66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D1E49" w:rsidRPr="00B71399" w:rsidRDefault="00FD1E49" w:rsidP="007E1A8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2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9" name="Straight Connector 19"/>
                      <wps:cNvCnPr/>
                      <wps:spPr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1E49" w:rsidRPr="00A507EE" w:rsidRDefault="00FD1E49" w:rsidP="007E1A8B">
                            <w:pPr>
                              <w:bidi w:val="0"/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7450F08" id="Group 7" o:spid="_x0000_s1026" style="position:absolute;left:0;text-align:left;margin-left:-12.1pt;margin-top:-23.7pt;width:339.75pt;height:28.95pt;z-index:251680768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35169;top:615;width:7982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" fillcolor="white [3201]" strokecolor="#385e66" strokeweight=".5pt">
                <v:textbox>
                  <w:txbxContent>
                    <w:p w:rsidR="00FD1E49" w:rsidRPr="00B71399" w:rsidRDefault="00FD1E49" w:rsidP="007E1A8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2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19" o:spid="_x0000_s1028" style="position:absolute;flip:x;visibility:visible;mso-wrap-style:square" from="9231,2022" to="34026,2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" strokecolor="#4c818e" strokeweight="1pt">
                <v:stroke joinstyle="miter"/>
              </v:line>
              <v:shape id="Text Box 2" o:spid="_x0000_s1029" type="#_x0000_t202" style="position:absolute;width:12397;height:3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" fillcolor="white [3212]" stroked="f">
                <v:textbox>
                  <w:txbxContent>
                    <w:p w:rsidR="00FD1E49" w:rsidRPr="00A507EE" w:rsidRDefault="00FD1E49" w:rsidP="007E1A8B">
                      <w:pPr>
                        <w:bidi w:val="0"/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E49" w:rsidRDefault="00FD1E49">
    <w:pPr>
      <w:pStyle w:val="Header"/>
      <w:rPr>
        <w:lang w:bidi="ar-EG"/>
      </w:rPr>
    </w:pPr>
    <w:r>
      <w:rPr>
        <w:noProof/>
        <w:lang w:bidi="ta-IN"/>
      </w:rPr>
      <w:drawing>
        <wp:anchor distT="0" distB="0" distL="114300" distR="114300" simplePos="0" relativeHeight="251679744" behindDoc="0" locked="0" layoutInCell="1" allowOverlap="1" wp14:anchorId="59C47833" wp14:editId="61441517">
          <wp:simplePos x="0" y="0"/>
          <wp:positionH relativeFrom="column">
            <wp:posOffset>-549940</wp:posOffset>
          </wp:positionH>
          <wp:positionV relativeFrom="paragraph">
            <wp:posOffset>-171450</wp:posOffset>
          </wp:positionV>
          <wp:extent cx="5433238" cy="265501"/>
          <wp:effectExtent l="0" t="0" r="0" b="127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33238" cy="2655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A8B" w:rsidRDefault="006B4F4B">
    <w:pPr>
      <w:pStyle w:val="Header"/>
      <w:rPr>
        <w:lang w:bidi="ar-EG"/>
      </w:rPr>
    </w:pPr>
    <w:r>
      <w:rPr>
        <w:noProof/>
        <w:lang w:bidi="ta-IN"/>
      </w:rPr>
      <mc:AlternateContent>
        <mc:Choice Requires="wpg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-153523</wp:posOffset>
              </wp:positionH>
              <wp:positionV relativeFrom="paragraph">
                <wp:posOffset>-300746</wp:posOffset>
              </wp:positionV>
              <wp:extent cx="4315118" cy="367665"/>
              <wp:effectExtent l="0" t="0" r="28575" b="0"/>
              <wp:wrapNone/>
              <wp:docPr id="21" name="Group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5118" cy="367665"/>
                        <a:chOff x="0" y="0"/>
                        <a:chExt cx="4315118" cy="367665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385E66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1A8B" w:rsidRPr="00B71399" w:rsidRDefault="007E1A8B" w:rsidP="007E1A8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 w:rsidR="006B4F4B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2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1A8B" w:rsidRPr="00A507EE" w:rsidRDefault="007E1A8B" w:rsidP="007E1A8B">
                            <w:pPr>
                              <w:bidi w:val="0"/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21" o:spid="_x0000_s1030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left:35169;top:615;width:7982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" fillcolor="white [3201]" strokecolor="#385e66" strokeweight=".5pt">
                <v:textbox>
                  <w:txbxContent>
                    <w:p w:rsidR="007E1A8B" w:rsidRPr="00B71399" w:rsidRDefault="007E1A8B" w:rsidP="007E1A8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 w:rsidR="006B4F4B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2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8" o:spid="_x0000_s1032" style="position:absolute;flip:x;visibility:visible;mso-wrap-style:square" from="9231,2022" to="34026,20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" strokecolor="#4c818e" strokeweight="1pt">
                <v:stroke joinstyle="miter"/>
              </v:line>
              <v:shape id="Text Box 2" o:spid="_x0000_s1033" type="#_x0000_t202" style="position:absolute;width:12397;height:36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" fillcolor="white [3212]" stroked="f">
                <v:textbox>
                  <w:txbxContent>
                    <w:p w:rsidR="007E1A8B" w:rsidRPr="00A507EE" w:rsidRDefault="007E1A8B" w:rsidP="007E1A8B">
                      <w:pPr>
                        <w:bidi w:val="0"/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5A0511"/>
    <w:multiLevelType w:val="hybridMultilevel"/>
    <w:tmpl w:val="1A5217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1C4A53"/>
    <w:multiLevelType w:val="hybridMultilevel"/>
    <w:tmpl w:val="351CD12E"/>
    <w:lvl w:ilvl="0" w:tplc="6DDAACB6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TrueTypeFonts/>
  <w:embedSystemFonts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4F"/>
    <w:rsid w:val="0009099C"/>
    <w:rsid w:val="000A53B5"/>
    <w:rsid w:val="000A6307"/>
    <w:rsid w:val="000A6BE0"/>
    <w:rsid w:val="000C2B16"/>
    <w:rsid w:val="000D5816"/>
    <w:rsid w:val="00171C08"/>
    <w:rsid w:val="00184B62"/>
    <w:rsid w:val="00187D3B"/>
    <w:rsid w:val="001A0D79"/>
    <w:rsid w:val="001F4E86"/>
    <w:rsid w:val="002219E3"/>
    <w:rsid w:val="00223B3B"/>
    <w:rsid w:val="0023307B"/>
    <w:rsid w:val="00244087"/>
    <w:rsid w:val="00267C61"/>
    <w:rsid w:val="00270AE8"/>
    <w:rsid w:val="002A50A9"/>
    <w:rsid w:val="002B2FF1"/>
    <w:rsid w:val="002B662B"/>
    <w:rsid w:val="002C09FA"/>
    <w:rsid w:val="003072B2"/>
    <w:rsid w:val="00317B3C"/>
    <w:rsid w:val="003238D3"/>
    <w:rsid w:val="00324177"/>
    <w:rsid w:val="00347608"/>
    <w:rsid w:val="00357B1F"/>
    <w:rsid w:val="00372A0D"/>
    <w:rsid w:val="003906F7"/>
    <w:rsid w:val="003A3CDC"/>
    <w:rsid w:val="003E1AC6"/>
    <w:rsid w:val="00447B55"/>
    <w:rsid w:val="004C1156"/>
    <w:rsid w:val="004C2827"/>
    <w:rsid w:val="004C2F52"/>
    <w:rsid w:val="004E2AD6"/>
    <w:rsid w:val="004E38A0"/>
    <w:rsid w:val="004E78EF"/>
    <w:rsid w:val="00556722"/>
    <w:rsid w:val="005666DC"/>
    <w:rsid w:val="00575281"/>
    <w:rsid w:val="0058544F"/>
    <w:rsid w:val="005A2707"/>
    <w:rsid w:val="0060157E"/>
    <w:rsid w:val="00626D06"/>
    <w:rsid w:val="00662A2B"/>
    <w:rsid w:val="006867C1"/>
    <w:rsid w:val="0069533C"/>
    <w:rsid w:val="006B4F4B"/>
    <w:rsid w:val="006B79D2"/>
    <w:rsid w:val="00705C71"/>
    <w:rsid w:val="00717FAE"/>
    <w:rsid w:val="00742BE0"/>
    <w:rsid w:val="0076729A"/>
    <w:rsid w:val="0077162A"/>
    <w:rsid w:val="0077680D"/>
    <w:rsid w:val="00790C62"/>
    <w:rsid w:val="007A33AB"/>
    <w:rsid w:val="007A373F"/>
    <w:rsid w:val="007E1A8B"/>
    <w:rsid w:val="007E5889"/>
    <w:rsid w:val="007E5A5E"/>
    <w:rsid w:val="007E70EB"/>
    <w:rsid w:val="00814452"/>
    <w:rsid w:val="008210B3"/>
    <w:rsid w:val="00853076"/>
    <w:rsid w:val="00855E30"/>
    <w:rsid w:val="00885CFF"/>
    <w:rsid w:val="008A2F5F"/>
    <w:rsid w:val="008A5781"/>
    <w:rsid w:val="008A58B6"/>
    <w:rsid w:val="008B3703"/>
    <w:rsid w:val="008D70C8"/>
    <w:rsid w:val="008E2038"/>
    <w:rsid w:val="008F371A"/>
    <w:rsid w:val="0090385D"/>
    <w:rsid w:val="00906DC9"/>
    <w:rsid w:val="00910AF4"/>
    <w:rsid w:val="009350C8"/>
    <w:rsid w:val="00944C90"/>
    <w:rsid w:val="0097058E"/>
    <w:rsid w:val="009967F9"/>
    <w:rsid w:val="00A01295"/>
    <w:rsid w:val="00A021C5"/>
    <w:rsid w:val="00A052E1"/>
    <w:rsid w:val="00A0781B"/>
    <w:rsid w:val="00A112A6"/>
    <w:rsid w:val="00A26C77"/>
    <w:rsid w:val="00A465D1"/>
    <w:rsid w:val="00A507EE"/>
    <w:rsid w:val="00A61E5C"/>
    <w:rsid w:val="00B04BE4"/>
    <w:rsid w:val="00B21534"/>
    <w:rsid w:val="00B3510F"/>
    <w:rsid w:val="00B50A3A"/>
    <w:rsid w:val="00B71399"/>
    <w:rsid w:val="00B820AA"/>
    <w:rsid w:val="00B87ADE"/>
    <w:rsid w:val="00BA456F"/>
    <w:rsid w:val="00BD190F"/>
    <w:rsid w:val="00BF04A9"/>
    <w:rsid w:val="00C03201"/>
    <w:rsid w:val="00C10E38"/>
    <w:rsid w:val="00C31855"/>
    <w:rsid w:val="00C37C22"/>
    <w:rsid w:val="00C408EE"/>
    <w:rsid w:val="00C72BD4"/>
    <w:rsid w:val="00CA5FDC"/>
    <w:rsid w:val="00CC4C26"/>
    <w:rsid w:val="00CD4735"/>
    <w:rsid w:val="00CE6030"/>
    <w:rsid w:val="00CF693B"/>
    <w:rsid w:val="00CF6C11"/>
    <w:rsid w:val="00D06CFA"/>
    <w:rsid w:val="00D15CF7"/>
    <w:rsid w:val="00D2227B"/>
    <w:rsid w:val="00D3471F"/>
    <w:rsid w:val="00D46176"/>
    <w:rsid w:val="00D849A2"/>
    <w:rsid w:val="00D85A5F"/>
    <w:rsid w:val="00D877C1"/>
    <w:rsid w:val="00DA3EF4"/>
    <w:rsid w:val="00DA5D93"/>
    <w:rsid w:val="00DC6A8E"/>
    <w:rsid w:val="00DE5862"/>
    <w:rsid w:val="00E25D4B"/>
    <w:rsid w:val="00E32771"/>
    <w:rsid w:val="00E3745F"/>
    <w:rsid w:val="00E5682B"/>
    <w:rsid w:val="00E710AA"/>
    <w:rsid w:val="00E76B42"/>
    <w:rsid w:val="00EB6A67"/>
    <w:rsid w:val="00EE5A20"/>
    <w:rsid w:val="00EE70E3"/>
    <w:rsid w:val="00F22535"/>
    <w:rsid w:val="00F2420A"/>
    <w:rsid w:val="00F2570D"/>
    <w:rsid w:val="00F3173B"/>
    <w:rsid w:val="00F36FFF"/>
    <w:rsid w:val="00F80820"/>
    <w:rsid w:val="00FB3E88"/>
    <w:rsid w:val="00FD1E49"/>
    <w:rsid w:val="00FE2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BB3E94B-DB00-4F3B-BBD0-B891585E2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357B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7B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7B1F"/>
    <w:rPr>
      <w:vertAlign w:val="superscript"/>
    </w:rPr>
  </w:style>
  <w:style w:type="table" w:styleId="TableGrid">
    <w:name w:val="Table Grid"/>
    <w:basedOn w:val="TableNormal"/>
    <w:uiPriority w:val="39"/>
    <w:rsid w:val="00FD1E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D1E49"/>
    <w:pPr>
      <w:ind w:left="720"/>
      <w:contextualSpacing/>
    </w:pPr>
  </w:style>
  <w:style w:type="paragraph" w:styleId="NoSpacing">
    <w:name w:val="No Spacing"/>
    <w:uiPriority w:val="1"/>
    <w:qFormat/>
    <w:rsid w:val="00CA5FDC"/>
    <w:pPr>
      <w:bidi/>
      <w:spacing w:after="0" w:line="240" w:lineRule="auto"/>
    </w:pPr>
  </w:style>
  <w:style w:type="paragraph" w:styleId="NormalWeb">
    <w:name w:val="Normal (Web)"/>
    <w:basedOn w:val="Normal"/>
    <w:rsid w:val="00CA5FDC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 w:bidi="ar-S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71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8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5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5" Type="http://schemas.openxmlformats.org/officeDocument/2006/relationships/font" Target="fonts/font25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24" Type="http://schemas.openxmlformats.org/officeDocument/2006/relationships/font" Target="fonts/font24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23" Type="http://schemas.openxmlformats.org/officeDocument/2006/relationships/font" Target="fonts/font23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Relationship Id="rId22" Type="http://schemas.openxmlformats.org/officeDocument/2006/relationships/font" Target="fonts/font22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27F9C-04E2-4D02-9A77-625D9D179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6</Pages>
  <Words>973</Words>
  <Characters>5549</Characters>
  <Application>Microsoft Office Word</Application>
  <DocSecurity>0</DocSecurity>
  <Lines>46</Lines>
  <Paragraphs>13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6509</CharactersWithSpaces>
  <SharedDoc>false</SharedDoc>
  <HyperlinkBase>www.islamhouse.com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LETTURA DI AL-FĀTIĤAH (L’APRENTE) DURANTE LA PREGHIERA</dc:title>
  <dc:subject>LA LETTURA DI AL-FĀTIĤAH (L’APRENTE) DURANTE LA PREGHIERA</dc:subject>
  <dc:creator>Ash-Shaykh Muĥammad Şāliĥ Al-Munajjid</dc:creator>
  <cp:keywords>LA LETTURA DI AL-FĀTIĤAH (L’APRENTE) DURANTE LA PREGHIERA</cp:keywords>
  <dc:description>LA LETTURA DI AL-FĀTIĤAH (L’APRENTE) DURANTE LA PREGHIERA</dc:description>
  <cp:lastModifiedBy>Mahmoud</cp:lastModifiedBy>
  <cp:revision>20</cp:revision>
  <cp:lastPrinted>2015-01-13T04:52:00Z</cp:lastPrinted>
  <dcterms:created xsi:type="dcterms:W3CDTF">2017-04-01T07:07:00Z</dcterms:created>
  <dcterms:modified xsi:type="dcterms:W3CDTF">2017-05-08T18:43:00Z</dcterms:modified>
  <cp:category/>
</cp:coreProperties>
</file>