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F82E63" w:rsidRDefault="00A03054" w:rsidP="00A03054">
      <w:pPr>
        <w:bidi w:val="0"/>
        <w:jc w:val="center"/>
        <w:rPr>
          <w:rFonts w:asciiTheme="majorBidi" w:hAnsiTheme="majorBidi" w:cs="Kalpurush"/>
          <w:sz w:val="72"/>
          <w:szCs w:val="91"/>
          <w:cs/>
          <w:lang w:bidi="bn-BD"/>
        </w:rPr>
      </w:pPr>
    </w:p>
    <w:p w:rsidR="00A03054" w:rsidRPr="008378B2" w:rsidRDefault="0029210A" w:rsidP="0029210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সহবাসের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সময়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মনী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(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বীর্য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) 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নির্গত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না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হলেও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গোসল</w:t>
      </w:r>
      <w:r w:rsidRPr="0029210A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ওয়াজিব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29210A" w:rsidP="0029210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يجب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الغسل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الجماع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وإن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لم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يحصل</w:t>
      </w:r>
      <w:r w:rsidRPr="0029210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29210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إنزال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76662E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bookmarkStart w:id="0" w:name="_GoBack"/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bookmarkEnd w:id="0"/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74624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29210A" w:rsidP="0029210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29210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ইসলাম</w:t>
      </w:r>
      <w:r w:rsidRPr="0029210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কিউ</w:t>
      </w:r>
      <w:r w:rsidRPr="0029210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29210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এ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F82E63" w:rsidP="0029210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</w:rPr>
        <w:t xml:space="preserve">موقع </w:t>
      </w:r>
      <w:r w:rsidR="0029210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الإسلام سؤال وجواب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29210A" w:rsidRPr="0029210A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29210A" w:rsidRPr="0029210A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29210A" w:rsidRPr="0029210A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F82E63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29210A" w:rsidRPr="0029210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29210A" w:rsidRPr="0029210A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9210A" w:rsidRPr="0029210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29210A" w:rsidRPr="0029210A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29210A" w:rsidRPr="0029210A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نذيراحمد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29210A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15D9EE7" wp14:editId="3FA5E6C0">
            <wp:simplePos x="0" y="0"/>
            <wp:positionH relativeFrom="margin">
              <wp:posOffset>29735</wp:posOffset>
            </wp:positionH>
            <wp:positionV relativeFrom="paragraph">
              <wp:posOffset>92863</wp:posOffset>
            </wp:positionV>
            <wp:extent cx="5817475" cy="47228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164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সহবাসের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সময়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মনী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(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বীর্য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)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নির্গত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না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হলেও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গোসল</w:t>
      </w:r>
      <w:r w:rsidR="0029210A" w:rsidRPr="0029210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29210A" w:rsidRPr="0029210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ওয়াজিব</w:t>
      </w:r>
    </w:p>
    <w:p w:rsidR="00E942BB" w:rsidRPr="0029210A" w:rsidRDefault="00E942BB" w:rsidP="0029210A">
      <w:pPr>
        <w:tabs>
          <w:tab w:val="left" w:pos="753"/>
          <w:tab w:val="center" w:pos="3968"/>
        </w:tabs>
        <w:bidi w:val="0"/>
        <w:spacing w:after="0"/>
        <w:ind w:firstLine="340"/>
        <w:jc w:val="both"/>
        <w:rPr>
          <w:rFonts w:ascii="Kalpurush" w:hAnsi="Kalpurush" w:cs="Kalpurush"/>
          <w:color w:val="5EA1A5"/>
          <w:sz w:val="24"/>
          <w:szCs w:val="24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9210A" w:rsidRP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9210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 w:rsidRPr="0029210A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সহবাসের পর যদি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না হয়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তবে কি গোসল করা ওয়া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জি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ব?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নাকি ম</w:t>
      </w:r>
      <w:r>
        <w:rPr>
          <w:rFonts w:ascii="Kalpurush" w:hAnsi="Kalpurush" w:cs="Kalpurush"/>
          <w:sz w:val="24"/>
          <w:szCs w:val="24"/>
          <w:cs/>
          <w:lang w:bidi="bn-IN"/>
        </w:rPr>
        <w:t>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ব্যতীত গোসল ওয়া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জি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ব হয় না</w:t>
      </w:r>
      <w:r>
        <w:rPr>
          <w:rFonts w:ascii="Kalpurush" w:hAnsi="Kalpurush" w:cs="Kalpurush"/>
          <w:sz w:val="24"/>
          <w:szCs w:val="24"/>
        </w:rPr>
        <w:t>?</w:t>
      </w:r>
    </w:p>
    <w:p w:rsidR="0029210A" w:rsidRP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29210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29210A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আল-হামদুলিল্লাহ</w:t>
      </w:r>
    </w:p>
    <w:p w:rsidR="0029210A" w:rsidRP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29210A">
        <w:rPr>
          <w:rFonts w:ascii="Kalpurush" w:hAnsi="Kalpurush" w:cs="Kalpurush"/>
          <w:sz w:val="24"/>
          <w:szCs w:val="24"/>
          <w:cs/>
          <w:lang w:bidi="bn-IN"/>
        </w:rPr>
        <w:t>এ ব্যাপারে সকল আলেম একমত যে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সহবাসের ফলে গোসল ওয়া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জি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ব হয়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(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আল-মাওসুআতুল ফিকহিয়াহ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: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৩১/১৯৮)</w:t>
      </w:r>
    </w:p>
    <w:p w:rsid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9210A">
        <w:rPr>
          <w:rFonts w:ascii="Kalpurush" w:hAnsi="Kalpurush" w:cs="Kalpurush"/>
          <w:sz w:val="24"/>
          <w:szCs w:val="24"/>
          <w:cs/>
          <w:lang w:bidi="bn-IN"/>
        </w:rPr>
        <w:t>স্বামী তার স্ত্রীর সাথে সহবাস করলে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না হলেও 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রাসূলুল্লাহ সাল্লাল্লাহু আলাইহি ওয়াসাল্লাম থেকে এ সিদ্ধান্ত </w:t>
      </w:r>
      <w:r>
        <w:rPr>
          <w:rFonts w:ascii="Kalpurush" w:hAnsi="Kalpurush" w:cs="Kalpurush"/>
          <w:sz w:val="24"/>
          <w:szCs w:val="24"/>
          <w:cs/>
          <w:lang w:bidi="bn-IN"/>
        </w:rPr>
        <w:t>আব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হুরায়রা 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IN"/>
        </w:rPr>
        <w:t>‘</w:t>
      </w:r>
      <w:r>
        <w:rPr>
          <w:rFonts w:ascii="Kalpurush" w:hAnsi="Kalpurush" w:cs="Kalpurush"/>
          <w:sz w:val="24"/>
          <w:szCs w:val="24"/>
          <w:cs/>
          <w:lang w:bidi="bn-IN"/>
        </w:rPr>
        <w:t>আনহু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র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সে স্পষ্টভাবে বর্ণিত হয়েছে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তিনি 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রাসূল </w:t>
      </w:r>
      <w:r>
        <w:rPr>
          <w:rFonts w:ascii="Kalpurush" w:hAnsi="Kalpurush" w:cs="Kalpurush"/>
          <w:sz w:val="24"/>
          <w:szCs w:val="24"/>
          <w:cs/>
          <w:lang w:bidi="bn-BD"/>
        </w:rPr>
        <w:t>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বলেছেন,</w:t>
      </w:r>
    </w:p>
    <w:p w:rsidR="003B7D9C" w:rsidRPr="0029210A" w:rsidRDefault="003B7D9C" w:rsidP="003B7D9C">
      <w:pPr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F82E63">
        <w:rPr>
          <w:rFonts w:ascii="KFGQPC Uthman Taha Naskh" w:cs="KFGQPC Uthman Taha Naskh" w:hint="eastAsia"/>
          <w:color w:val="000080"/>
          <w:sz w:val="32"/>
          <w:szCs w:val="32"/>
          <w:rtl/>
        </w:rPr>
        <w:t>«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إِذَا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 w:rsidRPr="00F82E63">
        <w:rPr>
          <w:rFonts w:ascii="KFGQPC Uthman Taha Naskh" w:cs="KFGQPC Uthman Taha Naskh" w:hint="cs"/>
          <w:color w:val="000080"/>
          <w:sz w:val="32"/>
          <w:szCs w:val="32"/>
          <w:rtl/>
        </w:rPr>
        <w:t>جَلَسَ</w:t>
      </w:r>
      <w:r w:rsidRPr="00F82E63"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 w:rsidRPr="00F82E63">
        <w:rPr>
          <w:rFonts w:ascii="KFGQPC Uthman Taha Naskh" w:cs="KFGQPC Uthman Taha Naskh" w:hint="cs"/>
          <w:color w:val="000080"/>
          <w:sz w:val="32"/>
          <w:szCs w:val="32"/>
          <w:rtl/>
        </w:rPr>
        <w:t>بَيْنَ</w:t>
      </w:r>
      <w:r w:rsidRPr="00F82E63"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 w:rsidRPr="00F82E63">
        <w:rPr>
          <w:rFonts w:ascii="KFGQPC Uthman Taha Naskh" w:cs="KFGQPC Uthman Taha Naskh" w:hint="cs"/>
          <w:color w:val="000080"/>
          <w:sz w:val="32"/>
          <w:szCs w:val="32"/>
          <w:rtl/>
        </w:rPr>
        <w:t>شُعَبِهَا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الأَرْبَعِ،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ثُمَّ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جَهَدَهَا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فَقَدْ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وَجَبَ</w:t>
      </w:r>
      <w:r>
        <w:rPr>
          <w:rFonts w:ascii="KFGQPC Uthman Taha Naskh" w:cs="KFGQPC Uthman Taha Naskh"/>
          <w:color w:val="000080"/>
          <w:sz w:val="32"/>
          <w:szCs w:val="32"/>
          <w:rtl/>
        </w:rPr>
        <w:t xml:space="preserve"> </w:t>
      </w:r>
      <w:r>
        <w:rPr>
          <w:rFonts w:ascii="KFGQPC Uthman Taha Naskh" w:cs="KFGQPC Uthman Taha Naskh" w:hint="cs"/>
          <w:color w:val="000080"/>
          <w:sz w:val="32"/>
          <w:szCs w:val="32"/>
          <w:rtl/>
        </w:rPr>
        <w:t>الغَسْلُ</w:t>
      </w:r>
      <w:r>
        <w:rPr>
          <w:rFonts w:ascii="KFGQPC Uthman Taha Naskh" w:cs="KFGQPC Uthman Taha Naskh" w:hint="eastAsia"/>
          <w:color w:val="000080"/>
          <w:sz w:val="32"/>
          <w:szCs w:val="32"/>
          <w:rtl/>
        </w:rPr>
        <w:t>»</w:t>
      </w:r>
    </w:p>
    <w:p w:rsidR="0029210A" w:rsidRDefault="0029210A" w:rsidP="003B7D9C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9210A">
        <w:rPr>
          <w:rFonts w:ascii="Kalpurush" w:hAnsi="Kalpurush" w:cs="Kalpurush"/>
          <w:sz w:val="24"/>
          <w:szCs w:val="24"/>
        </w:rPr>
        <w:t>“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যদি পুরুষ তার চার শা</w:t>
      </w:r>
      <w:r w:rsidR="003B7D9C">
        <w:rPr>
          <w:rFonts w:ascii="Kalpurush" w:hAnsi="Kalpurush" w:cs="Kalpurush"/>
          <w:sz w:val="24"/>
          <w:szCs w:val="24"/>
          <w:cs/>
          <w:lang w:bidi="bn-IN"/>
        </w:rPr>
        <w:t>খার (হাত-পা)</w:t>
      </w:r>
      <w:r w:rsidR="003B7D9C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উপর বসে যায়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="003B7D9C">
        <w:rPr>
          <w:rFonts w:ascii="Kalpurush" w:hAnsi="Kalpurush" w:cs="Kalpurush"/>
          <w:sz w:val="24"/>
          <w:szCs w:val="24"/>
          <w:cs/>
          <w:lang w:bidi="bn-IN"/>
        </w:rPr>
        <w:t xml:space="preserve">অতঃপর তাতে সে </w:t>
      </w:r>
      <w:r w:rsidR="003B7D9C">
        <w:rPr>
          <w:rFonts w:ascii="Kalpurush" w:hAnsi="Kalpurush" w:cs="Kalpurush" w:hint="cs"/>
          <w:sz w:val="24"/>
          <w:szCs w:val="24"/>
          <w:cs/>
          <w:lang w:bidi="bn-BD"/>
        </w:rPr>
        <w:t>প্রচেষ্টা চালায়,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তবেই তার উপর 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ো”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hAnsi="Kalpurush" w:cs="Kalpurush"/>
          <w:sz w:val="24"/>
          <w:szCs w:val="24"/>
          <w:cs/>
          <w:lang w:bidi="bn-IN"/>
        </w:rPr>
        <w:t>বুখার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ী, হাদীস নং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২৯১)</w:t>
      </w:r>
    </w:p>
    <w:p w:rsidR="0029210A" w:rsidRP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  <w:rtl/>
        </w:rPr>
      </w:pPr>
      <w:r w:rsidRPr="0029210A">
        <w:rPr>
          <w:rFonts w:ascii="Kalpurush" w:hAnsi="Kalpurush" w:cs="Kalpurush"/>
          <w:sz w:val="24"/>
          <w:szCs w:val="24"/>
          <w:cs/>
          <w:lang w:bidi="bn-IN"/>
        </w:rPr>
        <w:t>মুসলিমের বর্ণনা অতিরিক্ত রয়েছে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Times New Roman" w:hAnsi="Times New Roman" w:cs="Times New Roman" w:hint="cs"/>
          <w:sz w:val="24"/>
          <w:szCs w:val="24"/>
          <w:rtl/>
        </w:rPr>
        <w:t>وَإِنْ</w:t>
      </w:r>
      <w:r w:rsidRPr="0029210A">
        <w:rPr>
          <w:rFonts w:ascii="Kalpurush" w:hAnsi="Kalpurush" w:cs="Kalpurush"/>
          <w:sz w:val="24"/>
          <w:szCs w:val="24"/>
          <w:rtl/>
        </w:rPr>
        <w:t xml:space="preserve"> </w:t>
      </w:r>
      <w:r w:rsidRPr="0029210A">
        <w:rPr>
          <w:rFonts w:ascii="Times New Roman" w:hAnsi="Times New Roman" w:cs="Times New Roman" w:hint="cs"/>
          <w:sz w:val="24"/>
          <w:szCs w:val="24"/>
          <w:rtl/>
        </w:rPr>
        <w:t>لَمْ</w:t>
      </w:r>
      <w:r w:rsidRPr="0029210A">
        <w:rPr>
          <w:rFonts w:ascii="Kalpurush" w:hAnsi="Kalpurush" w:cs="Kalpurush"/>
          <w:sz w:val="24"/>
          <w:szCs w:val="24"/>
          <w:rtl/>
        </w:rPr>
        <w:t xml:space="preserve"> </w:t>
      </w:r>
      <w:r w:rsidRPr="0029210A">
        <w:rPr>
          <w:rFonts w:ascii="Times New Roman" w:hAnsi="Times New Roman" w:cs="Times New Roman" w:hint="cs"/>
          <w:sz w:val="24"/>
          <w:szCs w:val="24"/>
          <w:rtl/>
        </w:rPr>
        <w:t>يُنْزِلْ</w:t>
      </w:r>
      <w:r w:rsidRPr="0029210A">
        <w:rPr>
          <w:rFonts w:ascii="Kalpurush" w:hAnsi="Kalpurush" w:cs="Kalpurush"/>
          <w:sz w:val="24"/>
          <w:szCs w:val="24"/>
          <w:rtl/>
        </w:rPr>
        <w:t xml:space="preserve"> </w:t>
      </w:r>
      <w:r w:rsidRPr="0029210A">
        <w:rPr>
          <w:rFonts w:ascii="Kalpurush" w:hAnsi="Kalpurush" w:cs="Kalpurush"/>
          <w:sz w:val="24"/>
          <w:szCs w:val="24"/>
          <w:lang w:bidi="bn-IN"/>
        </w:rPr>
        <w:t xml:space="preserve"> </w:t>
      </w:r>
      <w:r w:rsidRPr="0029210A">
        <w:rPr>
          <w:rFonts w:ascii="Kalpurush" w:hAnsi="Kalpurush" w:cs="Kalpurush"/>
          <w:sz w:val="24"/>
          <w:szCs w:val="24"/>
        </w:rPr>
        <w:t>“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যদিও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না হয়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৫২৫)</w:t>
      </w:r>
    </w:p>
    <w:p w:rsidR="0029210A" w:rsidRPr="0029210A" w:rsidRDefault="0029210A" w:rsidP="003B7D9C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ইমাম </w:t>
      </w:r>
      <w:r>
        <w:rPr>
          <w:rFonts w:ascii="Kalpurush" w:hAnsi="Kalpurush" w:cs="Kalpurush"/>
          <w:sz w:val="24"/>
          <w:szCs w:val="24"/>
          <w:cs/>
          <w:lang w:bidi="bn-IN"/>
        </w:rPr>
        <w:t>নবব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রহ. মুসলিমের ব্যাখ্যা গ্রন্থে বলেন: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9210A">
        <w:rPr>
          <w:rFonts w:ascii="Kalpurush" w:hAnsi="Kalpurush" w:cs="Kalpurush"/>
          <w:sz w:val="24"/>
          <w:szCs w:val="24"/>
        </w:rPr>
        <w:t>“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সের অর্থ: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হওয়া বা না হওয়ার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পর 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="003B7D9C">
        <w:rPr>
          <w:rFonts w:ascii="Kalpurush" w:hAnsi="Kalpurush" w:cs="Kalpurush" w:hint="cs"/>
          <w:sz w:val="24"/>
          <w:szCs w:val="24"/>
          <w:cs/>
          <w:lang w:bidi="bn-BD"/>
        </w:rPr>
        <w:t xml:space="preserve">হওয়া নির্ভরশীল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নয়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;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বরং যখনই পুরুষের </w:t>
      </w:r>
      <w:r w:rsidR="003B7D9C">
        <w:rPr>
          <w:rFonts w:ascii="Kalpurush" w:hAnsi="Kalpurush" w:cs="Kalpurush" w:hint="cs"/>
          <w:sz w:val="24"/>
          <w:szCs w:val="24"/>
          <w:cs/>
          <w:lang w:bidi="bn-BD"/>
        </w:rPr>
        <w:t>লিঙ্গ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নারীর যৌনাঙ্গে প্রবেশ করে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তখনই নারী-পুরুষ উভয়ের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পর 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বর্তমান যুগে এতে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মতবিরোধ নেই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তবে এক সময় কতক </w:t>
      </w:r>
      <w:r>
        <w:rPr>
          <w:rFonts w:ascii="Kalpurush" w:hAnsi="Kalpurush" w:cs="Kalpurush"/>
          <w:sz w:val="24"/>
          <w:szCs w:val="24"/>
          <w:cs/>
          <w:lang w:bidi="bn-IN"/>
        </w:rPr>
        <w:t>সাহাব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ও তাদের অনুসারীদের মধ্যে ইখতিলাফ ছিল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অতঃপর আমাদের </w:t>
      </w:r>
      <w:r>
        <w:rPr>
          <w:rFonts w:ascii="Kalpurush" w:hAnsi="Kalpurush" w:cs="Kalpurush"/>
          <w:sz w:val="24"/>
          <w:szCs w:val="24"/>
          <w:cs/>
          <w:lang w:bidi="bn-IN"/>
        </w:rPr>
        <w:t>উল্ল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খিত সিদ্ধান্তের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পর তাদের মাঝেও মতৈক্য সৃষ্টি হয়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29210A" w:rsidRP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9210A">
        <w:rPr>
          <w:rFonts w:ascii="Kalpurush" w:hAnsi="Kalpurush" w:cs="Kalpurush"/>
          <w:sz w:val="24"/>
          <w:szCs w:val="24"/>
          <w:cs/>
          <w:lang w:bidi="bn-IN"/>
        </w:rPr>
        <w:t>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খ </w:t>
      </w:r>
      <w:r>
        <w:rPr>
          <w:rFonts w:ascii="Kalpurush" w:hAnsi="Kalpurush" w:cs="Kalpurush"/>
          <w:sz w:val="24"/>
          <w:szCs w:val="24"/>
          <w:cs/>
          <w:lang w:bidi="bn-IN"/>
        </w:rPr>
        <w:t>ইব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ন </w:t>
      </w:r>
      <w:r>
        <w:rPr>
          <w:rFonts w:ascii="Kalpurush" w:hAnsi="Kalpurush" w:cs="Kalpurush"/>
          <w:sz w:val="24"/>
          <w:szCs w:val="24"/>
          <w:cs/>
          <w:lang w:bidi="bn-IN"/>
        </w:rPr>
        <w:t>উসাইম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ন </w:t>
      </w:r>
      <w:r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হ.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‘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হওযার ব্যাপারে এ </w:t>
      </w:r>
      <w:r>
        <w:rPr>
          <w:rFonts w:ascii="Kalpurush" w:hAnsi="Kalpurush" w:cs="Kalpurush"/>
          <w:sz w:val="24"/>
          <w:szCs w:val="24"/>
          <w:cs/>
          <w:lang w:bidi="bn-IN"/>
        </w:rPr>
        <w:t>দল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ল স্পষ্ট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যদিও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না হয়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এ বিষয়টি অনেকের কাছে অস্পষ্ট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তুমি অনেক স্বামী-স্ত্রীকে দেখবে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তাদের থেকে সহবাস কর্ম সম্পাদন হওয়ার পরও তারা গোসল করে না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বিশেষ করে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যদি তারা ছোট হয় এবং এর শিক্ষা না পেয়ে থাকে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তাদের এ ভ্রান্তি এ ধারণা থেকে সৃষ্ট যে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নির্গত ব্যতীত 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হয় না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অথচ এটা ভুল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আশ-শারহুল মুমতি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: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১/২২৩)</w:t>
      </w:r>
    </w:p>
    <w:p w:rsidR="0029210A" w:rsidRPr="0029210A" w:rsidRDefault="0029210A" w:rsidP="0029210A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29210A">
        <w:rPr>
          <w:rFonts w:ascii="Kalpurush" w:hAnsi="Kalpurush" w:cs="Kalpurush"/>
          <w:sz w:val="24"/>
          <w:szCs w:val="24"/>
          <w:cs/>
          <w:lang w:bidi="bn-IN"/>
        </w:rPr>
        <w:t>ফতোয়া লাজনায়ে দায়েমাতে রয়েছে: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9210A">
        <w:rPr>
          <w:rFonts w:ascii="Kalpurush" w:hAnsi="Kalpurush" w:cs="Kalpurush"/>
          <w:sz w:val="24"/>
          <w:szCs w:val="24"/>
        </w:rPr>
        <w:t>“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মুসলিমের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পর যেসব কারণে গোসল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ওয়াজিব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হয়: ঘুমন্ত অবস্থায় </w:t>
      </w:r>
      <w:r>
        <w:rPr>
          <w:rFonts w:ascii="Kalpurush" w:hAnsi="Kalpurush" w:cs="Kalpurush"/>
          <w:sz w:val="24"/>
          <w:szCs w:val="24"/>
          <w:cs/>
          <w:lang w:bidi="bn-IN"/>
        </w:rPr>
        <w:t>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 বের হওয়া</w:t>
      </w:r>
      <w:r w:rsidRPr="00F82E63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9210A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স্বামীর সুপারি স্ত্রীর যৌনাঙ্গে প্রবেশ করা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যদিও তাতে মনি নির্গত না হয়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সহবাস ব্যতীত জাগ্রত অবস্থায় উত্তেজনাসহ মনি নির্গত হওয়া</w:t>
      </w:r>
      <w:r w:rsidRPr="0029210A">
        <w:rPr>
          <w:rFonts w:ascii="Kalpurush" w:hAnsi="Kalpurush" w:cs="Kalpurush"/>
          <w:sz w:val="24"/>
          <w:szCs w:val="24"/>
          <w:cs/>
          <w:lang w:bidi="hi-IN"/>
        </w:rPr>
        <w:t xml:space="preserve">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এবং নারীর হায়েস ও নিফাস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যখন তাদের রক্ত বন্ধ হয়ে যাবে</w:t>
      </w:r>
      <w:r w:rsidRPr="0029210A">
        <w:rPr>
          <w:rFonts w:ascii="Kalpurush" w:hAnsi="Kalpurush" w:cs="Kalpurush"/>
          <w:sz w:val="24"/>
          <w:szCs w:val="24"/>
        </w:rPr>
        <w:t xml:space="preserve">,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 xml:space="preserve">তখন তাদের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পর গোসল হবে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F82E63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29210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="00F82E63">
        <w:rPr>
          <w:rFonts w:ascii="Kalpurush" w:hAnsi="Kalpurush" w:cs="Kalpurush"/>
          <w:sz w:val="24"/>
          <w:szCs w:val="24"/>
          <w:cs/>
          <w:lang w:bidi="bn-IN"/>
        </w:rPr>
        <w:t>ফ</w:t>
      </w:r>
      <w:r w:rsidR="00F82E63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F82E63">
        <w:rPr>
          <w:rFonts w:ascii="Kalpurush" w:hAnsi="Kalpurush" w:cs="Kalpurush"/>
          <w:sz w:val="24"/>
          <w:szCs w:val="24"/>
          <w:cs/>
          <w:lang w:bidi="bn-IN"/>
        </w:rPr>
        <w:t>ত</w:t>
      </w:r>
      <w:r w:rsidR="00F82E63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য়া লাজনায়ে দায়েমা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: </w:t>
      </w:r>
      <w:r w:rsidRPr="0029210A">
        <w:rPr>
          <w:rFonts w:ascii="Kalpurush" w:hAnsi="Kalpurush" w:cs="Kalpurush"/>
          <w:sz w:val="24"/>
          <w:szCs w:val="24"/>
          <w:cs/>
          <w:lang w:bidi="bn-IN"/>
        </w:rPr>
        <w:t>৫/৩১৪)</w:t>
      </w:r>
    </w:p>
    <w:p w:rsidR="002C2993" w:rsidRPr="00DF7E4B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C90E54" w:rsidRPr="00DF7E4B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5666DC" w:rsidRPr="00437F15" w:rsidRDefault="00DC6A8E" w:rsidP="00F82E63">
      <w:pPr>
        <w:tabs>
          <w:tab w:val="center" w:pos="4535"/>
        </w:tabs>
        <w:bidi w:val="0"/>
        <w:jc w:val="both"/>
        <w:rPr>
          <w:rFonts w:asciiTheme="majorBidi" w:hAnsiTheme="majorBidi" w:cs="Vrinda"/>
          <w:color w:val="006666"/>
          <w:sz w:val="36"/>
          <w:szCs w:val="45"/>
          <w:rtl/>
          <w:cs/>
          <w:lang w:bidi="bn-BD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72576" behindDoc="1" locked="0" layoutInCell="1" allowOverlap="1" wp14:anchorId="2EECB2D6" wp14:editId="499591AF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437F15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C42" w:rsidRDefault="00543C42" w:rsidP="00E32771">
      <w:pPr>
        <w:spacing w:after="0" w:line="240" w:lineRule="auto"/>
      </w:pPr>
      <w:r>
        <w:separator/>
      </w:r>
    </w:p>
  </w:endnote>
  <w:endnote w:type="continuationSeparator" w:id="0">
    <w:p w:rsidR="00543C42" w:rsidRDefault="00543C4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32279FAC-5F4C-4964-9A40-155A9CE89076}"/>
    <w:embedBold r:id="rId2" w:fontKey="{749CF724-5117-4389-8F52-5673CBF38CF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44C3C0F0-FA6E-4934-A89B-D1609C1B3B3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7D5681E7-9FEF-4F86-A388-99AE3FDE48AC}"/>
    <w:embedBold r:id="rId5" w:fontKey="{4210D7B2-F60E-4C72-B2DA-D7BABA741520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8713DBDA-52C6-4D93-B273-0F1B016F2A09}"/>
    <w:embedBold r:id="rId7" w:fontKey="{19899419-DCCF-4DFD-870C-052981C1989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EB281F66-9B87-4205-AA95-823944030359}"/>
    <w:embedBold r:id="rId9" w:fontKey="{1589F3FA-C0B0-4442-B5C6-4087DD51DBC5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77C61279-7A1E-4903-AE56-7558C021554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51E6EB02-D645-40BF-B570-C24B920C06A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5E682775-B3F7-4660-AC77-B408CB219C57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1C0B1001-06CF-4F97-AE3B-62A9876498A1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C21E4A64-20B4-47A9-B935-7079E412C1E4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5" w:fontKey="{66B81D64-1810-402D-8060-CC44A2CED12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2619EA3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C42" w:rsidRDefault="00543C42" w:rsidP="00E32771">
      <w:pPr>
        <w:spacing w:after="0" w:line="240" w:lineRule="auto"/>
      </w:pPr>
      <w:r>
        <w:separator/>
      </w:r>
    </w:p>
  </w:footnote>
  <w:footnote w:type="continuationSeparator" w:id="0">
    <w:p w:rsidR="00543C42" w:rsidRDefault="00543C4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-585120</wp:posOffset>
              </wp:positionH>
              <wp:positionV relativeFrom="paragraph">
                <wp:posOffset>-182201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39308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29210A" w:rsidP="0029210A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সহবাসের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সময়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মনী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(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বীর্য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)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নির্গত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না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হলেও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গোসল</w:t>
                            </w:r>
                            <w:r w:rsidRPr="0029210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29210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ওয়াজিব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A025CC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05pt;margin-top:-14.3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N+O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3931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29210A" w:rsidP="0029210A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সহবাসের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সময়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মনী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(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বীর্য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)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নির্গত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না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হলেও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গোসল</w:t>
                      </w:r>
                      <w:r w:rsidRPr="0029210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29210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ওয়াজিব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A025CC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DA5D835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B2EB326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676A845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0A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874B4"/>
    <w:rsid w:val="0029210A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B7D9C"/>
    <w:rsid w:val="003E1AC6"/>
    <w:rsid w:val="00437EF4"/>
    <w:rsid w:val="00437F15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4F2D02"/>
    <w:rsid w:val="00536D3B"/>
    <w:rsid w:val="00543C42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6662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25CC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D3C7C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82E63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NormalWeb1">
    <w:name w:val="Normal (Web)1"/>
    <w:basedOn w:val="Normal"/>
    <w:rsid w:val="0029210A"/>
    <w:pPr>
      <w:spacing w:before="100" w:beforeAutospacing="1" w:after="100" w:afterAutospacing="1" w:line="384" w:lineRule="auto"/>
    </w:pPr>
    <w:rPr>
      <w:rFonts w:ascii="Arial" w:eastAsia="SimSun" w:hAnsi="Arial" w:cs="Arial"/>
      <w:color w:val="2E5092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NormalWeb1">
    <w:name w:val="Normal (Web)1"/>
    <w:basedOn w:val="Normal"/>
    <w:rsid w:val="0029210A"/>
    <w:pPr>
      <w:spacing w:before="100" w:beforeAutospacing="1" w:after="100" w:afterAutospacing="1" w:line="384" w:lineRule="auto"/>
    </w:pPr>
    <w:rPr>
      <w:rFonts w:ascii="Arial" w:eastAsia="SimSun" w:hAnsi="Arial" w:cs="Arial"/>
      <w:color w:val="2E509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6A2B0-8E1F-43A7-9527-D471295C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4</TotalTime>
  <Pages>1</Pages>
  <Words>379</Words>
  <Characters>1881</Characters>
  <Application>Microsoft Office Word</Application>
  <DocSecurity>0</DocSecurity>
  <Lines>57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সহবাসের সময় মনী (বীর্য) নির্গত না হলেও গোসল ওয়াজিব</vt:lpstr>
      <vt:lpstr/>
    </vt:vector>
  </TitlesOfParts>
  <Company>islamhouse.com</Company>
  <LinksUpToDate>false</LinksUpToDate>
  <CharactersWithSpaces>2235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সহবাসের সময় মনী (বীর্য) নির্গত না হলেও গোসল ওয়াজিব</dc:title>
  <dc:subject>সহবাসের সময় মনী (বীর্য) নির্গত না হলেও গোসল ওয়াজিব</dc:subject>
  <dc:creator>ইসলাম কিউ এ</dc:creator>
  <cp:keywords>সহবাসের সময় মনী (বীর্য) নির্গত না হলেও গোসল ওয়াজিব</cp:keywords>
  <dc:description>সহবাসের সময় মনী (বীর্য) নির্গত না হলেও গোসল ওয়াজিব</dc:description>
  <cp:lastModifiedBy>Ahmed Qassem</cp:lastModifiedBy>
  <cp:revision>8</cp:revision>
  <cp:lastPrinted>2015-12-19T11:17:00Z</cp:lastPrinted>
  <dcterms:created xsi:type="dcterms:W3CDTF">2015-12-12T18:19:00Z</dcterms:created>
  <dcterms:modified xsi:type="dcterms:W3CDTF">2015-12-19T11:18:00Z</dcterms:modified>
</cp:coreProperties>
</file>